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215"/>
        <w:spacing w:before="329" w:line="193" w:lineRule="auto"/>
        <w:rPr>
          <w:rFonts w:ascii="SimSun" w:hAnsi="SimSun" w:eastAsia="SimSun" w:cs="SimSun"/>
          <w:sz w:val="101"/>
          <w:szCs w:val="10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783182</wp:posOffset>
            </wp:positionH>
            <wp:positionV relativeFrom="paragraph">
              <wp:posOffset>-737740</wp:posOffset>
            </wp:positionV>
            <wp:extent cx="1664118" cy="158133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4118" cy="158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9.76456pt;margin-top:70.8273pt;mso-position-vertical-relative:text;mso-position-horizontal-relative:text;width:318.9pt;height:48.8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8" w:line="219" w:lineRule="auto"/>
                    <w:rPr>
                      <w:rFonts w:ascii="SimSun" w:hAnsi="SimSun" w:eastAsia="SimSun" w:cs="SimSun"/>
                      <w:sz w:val="79"/>
                      <w:szCs w:val="79"/>
                    </w:rPr>
                  </w:pPr>
                  <w:r>
                    <w:rPr>
                      <w:rFonts w:ascii="SimSun" w:hAnsi="SimSun" w:eastAsia="SimSun" w:cs="SimSun"/>
                      <w:sz w:val="79"/>
                      <w:szCs w:val="79"/>
                      <w:b/>
                      <w:bCs/>
                      <w:color w:val="ED0000"/>
                      <w:spacing w:val="-7"/>
                    </w:rPr>
                    <w:t>陕西省科学技术厅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80"/>
          <w:szCs w:val="80"/>
          <w:b/>
          <w:bCs/>
          <w:color w:val="ED0000"/>
          <w:spacing w:val="-52"/>
          <w:position w:val="19"/>
        </w:rPr>
        <w:t>陕</w:t>
      </w:r>
      <w:r>
        <w:rPr>
          <w:rFonts w:ascii="SimSun" w:hAnsi="SimSun" w:eastAsia="SimSun" w:cs="SimSun"/>
          <w:sz w:val="80"/>
          <w:szCs w:val="80"/>
          <w:color w:val="ED0000"/>
          <w:spacing w:val="-52"/>
          <w:position w:val="19"/>
        </w:rPr>
        <w:t xml:space="preserve"> </w:t>
      </w:r>
      <w:r>
        <w:rPr>
          <w:rFonts w:ascii="SimSun" w:hAnsi="SimSun" w:eastAsia="SimSun" w:cs="SimSun"/>
          <w:sz w:val="80"/>
          <w:szCs w:val="80"/>
          <w:b/>
          <w:bCs/>
          <w:color w:val="ED0000"/>
          <w:spacing w:val="-52"/>
          <w:position w:val="19"/>
        </w:rPr>
        <w:t>西</w:t>
      </w:r>
      <w:r>
        <w:rPr>
          <w:rFonts w:ascii="SimSun" w:hAnsi="SimSun" w:eastAsia="SimSun" w:cs="SimSun"/>
          <w:sz w:val="80"/>
          <w:szCs w:val="80"/>
          <w:color w:val="ED0000"/>
          <w:spacing w:val="-52"/>
          <w:position w:val="19"/>
        </w:rPr>
        <w:t xml:space="preserve"> </w:t>
      </w:r>
      <w:r>
        <w:rPr>
          <w:rFonts w:ascii="SimSun" w:hAnsi="SimSun" w:eastAsia="SimSun" w:cs="SimSun"/>
          <w:sz w:val="80"/>
          <w:szCs w:val="80"/>
          <w:b/>
          <w:bCs/>
          <w:color w:val="ED0000"/>
          <w:spacing w:val="-52"/>
          <w:position w:val="19"/>
        </w:rPr>
        <w:t>省</w:t>
      </w:r>
      <w:r>
        <w:rPr>
          <w:rFonts w:ascii="SimSun" w:hAnsi="SimSun" w:eastAsia="SimSun" w:cs="SimSun"/>
          <w:sz w:val="80"/>
          <w:szCs w:val="80"/>
          <w:color w:val="ED0000"/>
          <w:spacing w:val="-52"/>
          <w:position w:val="19"/>
        </w:rPr>
        <w:t xml:space="preserve"> </w:t>
      </w:r>
      <w:r>
        <w:rPr>
          <w:rFonts w:ascii="SimSun" w:hAnsi="SimSun" w:eastAsia="SimSun" w:cs="SimSun"/>
          <w:sz w:val="80"/>
          <w:szCs w:val="80"/>
          <w:b/>
          <w:bCs/>
          <w:color w:val="ED0000"/>
          <w:spacing w:val="-52"/>
          <w:position w:val="19"/>
        </w:rPr>
        <w:t>财</w:t>
      </w:r>
      <w:r>
        <w:rPr>
          <w:rFonts w:ascii="SimSun" w:hAnsi="SimSun" w:eastAsia="SimSun" w:cs="SimSun"/>
          <w:sz w:val="80"/>
          <w:szCs w:val="80"/>
          <w:color w:val="ED0000"/>
          <w:spacing w:val="-52"/>
          <w:position w:val="19"/>
        </w:rPr>
        <w:t xml:space="preserve"> </w:t>
      </w:r>
      <w:r>
        <w:rPr>
          <w:rFonts w:ascii="SimSun" w:hAnsi="SimSun" w:eastAsia="SimSun" w:cs="SimSun"/>
          <w:sz w:val="80"/>
          <w:szCs w:val="80"/>
          <w:b/>
          <w:bCs/>
          <w:color w:val="ED0000"/>
          <w:spacing w:val="-52"/>
          <w:position w:val="19"/>
        </w:rPr>
        <w:t>政</w:t>
      </w:r>
      <w:r>
        <w:rPr>
          <w:rFonts w:ascii="SimSun" w:hAnsi="SimSun" w:eastAsia="SimSun" w:cs="SimSun"/>
          <w:sz w:val="80"/>
          <w:szCs w:val="80"/>
          <w:color w:val="ED0000"/>
          <w:spacing w:val="-52"/>
          <w:position w:val="19"/>
        </w:rPr>
        <w:t xml:space="preserve"> </w:t>
      </w:r>
      <w:r>
        <w:rPr>
          <w:rFonts w:ascii="SimSun" w:hAnsi="SimSun" w:eastAsia="SimSun" w:cs="SimSun"/>
          <w:sz w:val="80"/>
          <w:szCs w:val="80"/>
          <w:b/>
          <w:bCs/>
          <w:color w:val="ED0000"/>
          <w:spacing w:val="-52"/>
          <w:position w:val="19"/>
        </w:rPr>
        <w:t>厅</w:t>
      </w:r>
      <w:r>
        <w:rPr>
          <w:rFonts w:ascii="SimSun" w:hAnsi="SimSun" w:eastAsia="SimSun" w:cs="SimSun"/>
          <w:sz w:val="80"/>
          <w:szCs w:val="80"/>
          <w:color w:val="ED0000"/>
          <w:spacing w:val="-52"/>
          <w:position w:val="19"/>
        </w:rPr>
        <w:t xml:space="preserve"> </w:t>
      </w:r>
      <w:r>
        <w:rPr>
          <w:rFonts w:ascii="SimSun" w:hAnsi="SimSun" w:eastAsia="SimSun" w:cs="SimSun"/>
          <w:sz w:val="101"/>
          <w:szCs w:val="101"/>
          <w:b/>
          <w:bCs/>
          <w:color w:val="ED0000"/>
          <w:spacing w:val="-52"/>
          <w:position w:val="-37"/>
        </w:rPr>
        <w:t>文件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2683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陕财办教〔2024〕113号</w:t>
      </w:r>
    </w:p>
    <w:p>
      <w:pPr>
        <w:pStyle w:val="BodyText"/>
        <w:spacing w:line="287" w:lineRule="auto"/>
        <w:rPr/>
      </w:pPr>
      <w:r/>
    </w:p>
    <w:p>
      <w:pPr>
        <w:ind w:firstLine="103"/>
        <w:spacing w:line="60" w:lineRule="exact"/>
        <w:rPr/>
      </w:pPr>
      <w:r>
        <w:rPr>
          <w:position w:val="-1"/>
        </w:rPr>
        <w:drawing>
          <wp:inline distT="0" distB="0" distL="0" distR="0">
            <wp:extent cx="5537172" cy="3805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7172" cy="3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3020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5"/>
        </w:rPr>
        <w:t>陕西省财政厅</w:t>
      </w:r>
    </w:p>
    <w:p>
      <w:pPr>
        <w:ind w:left="1750"/>
        <w:spacing w:before="118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5"/>
        </w:rPr>
        <w:t>陕西省科学技术厅关于印发</w:t>
      </w:r>
    </w:p>
    <w:p>
      <w:pPr>
        <w:spacing w:before="82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"/>
        </w:rPr>
        <w:t>《陕西省科技发展专项资金管理办法》的通知</w:t>
      </w:r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24"/>
        <w:spacing w:before="9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各设区市、杨凌示范区财政局、科技局，各有关单位：</w:t>
      </w:r>
    </w:p>
    <w:p>
      <w:pPr>
        <w:pStyle w:val="BodyText"/>
        <w:spacing w:line="353" w:lineRule="auto"/>
        <w:rPr/>
      </w:pPr>
      <w:r/>
    </w:p>
    <w:p>
      <w:pPr>
        <w:ind w:left="34" w:right="239" w:firstLine="629"/>
        <w:spacing w:before="98" w:line="49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为规范和加强我省科技发展专项资金管理，提高资金使用效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益，我们对《陕西省科技发展专项资金管理办法》进行了修订。</w:t>
      </w:r>
    </w:p>
    <w:p>
      <w:pPr>
        <w:spacing w:line="494" w:lineRule="auto"/>
        <w:sectPr>
          <w:footerReference w:type="default" r:id="rId1"/>
          <w:pgSz w:w="11920" w:h="16880"/>
          <w:pgMar w:top="1434" w:right="1350" w:bottom="1507" w:left="1745" w:header="0" w:footer="122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51" w:lineRule="auto"/>
        <w:rPr/>
      </w:pPr>
      <w:r/>
    </w:p>
    <w:p>
      <w:pPr>
        <w:pStyle w:val="BodyText"/>
        <w:spacing w:line="351" w:lineRule="auto"/>
        <w:rPr/>
      </w:pPr>
      <w:r/>
    </w:p>
    <w:p>
      <w:pPr>
        <w:ind w:left="29"/>
        <w:spacing w:before="9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现予印发，请遵照执行。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95211</wp:posOffset>
            </wp:positionH>
            <wp:positionV relativeFrom="paragraph">
              <wp:posOffset>158092</wp:posOffset>
            </wp:positionV>
            <wp:extent cx="1670062" cy="164469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0062" cy="164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4789"/>
        <w:spacing w:before="94" w:line="222" w:lineRule="auto"/>
        <w:rPr>
          <w:rFonts w:ascii="FangSong" w:hAnsi="FangSong" w:eastAsia="FangSong" w:cs="FangSong"/>
          <w:sz w:val="29"/>
          <w:szCs w:val="29"/>
        </w:rPr>
      </w:pPr>
      <w:r>
        <w:pict>
          <v:shape id="_x0000_s4" style="position:absolute;margin-left:25.4954pt;margin-top:0.92968pt;mso-position-vertical-relative:text;mso-position-horizontal-relative:text;width:109.8pt;height:23.7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FangSong" w:hAnsi="FangSong" w:eastAsia="FangSong" w:cs="FangSong"/>
                      <w:sz w:val="36"/>
                      <w:szCs w:val="36"/>
                    </w:rPr>
                  </w:pPr>
                  <w:r>
                    <w:rPr>
                      <w:rFonts w:ascii="FangSong" w:hAnsi="FangSong" w:eastAsia="FangSong" w:cs="FangSong"/>
                      <w:sz w:val="36"/>
                      <w:szCs w:val="36"/>
                      <w:spacing w:val="-1"/>
                    </w:rPr>
                    <w:t>陕西省财政厅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2952701</wp:posOffset>
            </wp:positionH>
            <wp:positionV relativeFrom="paragraph">
              <wp:posOffset>-739551</wp:posOffset>
            </wp:positionV>
            <wp:extent cx="1657367" cy="166366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7367" cy="166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9"/>
          <w:szCs w:val="29"/>
          <w:spacing w:val="12"/>
        </w:rPr>
        <w:t>陕西省科学技术厅</w:t>
      </w:r>
    </w:p>
    <w:p>
      <w:pPr>
        <w:ind w:left="4849"/>
        <w:spacing w:before="26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0"/>
          <w:w w:val="104"/>
        </w:rPr>
        <w:t>2024年8月22日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2" w:lineRule="auto"/>
        <w:rPr/>
      </w:pPr>
      <w:r/>
    </w:p>
    <w:p>
      <w:pPr>
        <w:ind w:left="679"/>
        <w:spacing w:before="9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(此件主动公开)</w:t>
      </w:r>
    </w:p>
    <w:p>
      <w:pPr>
        <w:spacing w:line="222" w:lineRule="auto"/>
        <w:sectPr>
          <w:footerReference w:type="default" r:id="rId4"/>
          <w:pgSz w:w="11900" w:h="16880"/>
          <w:pgMar w:top="1434" w:right="1785" w:bottom="1473" w:left="1640" w:header="0" w:footer="1185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1086"/>
        <w:spacing w:before="137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5"/>
        </w:rPr>
        <w:t>陕西省科技发展专项资金管理办法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3174"/>
        <w:spacing w:before="111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7"/>
        </w:rPr>
        <w:t>第</w:t>
      </w:r>
      <w:r>
        <w:rPr>
          <w:rFonts w:ascii="SimHei" w:hAnsi="SimHei" w:eastAsia="SimHei" w:cs="SimHei"/>
          <w:sz w:val="34"/>
          <w:szCs w:val="34"/>
          <w:spacing w:val="-35"/>
        </w:rPr>
        <w:t xml:space="preserve"> </w:t>
      </w:r>
      <w:r>
        <w:rPr>
          <w:rFonts w:ascii="SimHei" w:hAnsi="SimHei" w:eastAsia="SimHei" w:cs="SimHei"/>
          <w:sz w:val="34"/>
          <w:szCs w:val="34"/>
          <w:b/>
          <w:bCs/>
          <w:spacing w:val="-17"/>
        </w:rPr>
        <w:t>一</w:t>
      </w:r>
      <w:r>
        <w:rPr>
          <w:rFonts w:ascii="SimHei" w:hAnsi="SimHei" w:eastAsia="SimHei" w:cs="SimHei"/>
          <w:sz w:val="34"/>
          <w:szCs w:val="34"/>
          <w:spacing w:val="-39"/>
        </w:rPr>
        <w:t xml:space="preserve"> </w:t>
      </w:r>
      <w:r>
        <w:rPr>
          <w:rFonts w:ascii="SimHei" w:hAnsi="SimHei" w:eastAsia="SimHei" w:cs="SimHei"/>
          <w:sz w:val="34"/>
          <w:szCs w:val="34"/>
          <w:b/>
          <w:bCs/>
          <w:spacing w:val="-17"/>
        </w:rPr>
        <w:t>章</w:t>
      </w:r>
      <w:r>
        <w:rPr>
          <w:rFonts w:ascii="SimHei" w:hAnsi="SimHei" w:eastAsia="SimHei" w:cs="SimHei"/>
          <w:sz w:val="34"/>
          <w:szCs w:val="34"/>
          <w:spacing w:val="-33"/>
        </w:rPr>
        <w:t xml:space="preserve"> </w:t>
      </w:r>
      <w:r>
        <w:rPr>
          <w:rFonts w:ascii="SimHei" w:hAnsi="SimHei" w:eastAsia="SimHei" w:cs="SimHei"/>
          <w:sz w:val="34"/>
          <w:szCs w:val="34"/>
          <w:b/>
          <w:bCs/>
          <w:spacing w:val="-17"/>
        </w:rPr>
        <w:t>总</w:t>
      </w:r>
      <w:r>
        <w:rPr>
          <w:rFonts w:ascii="SimHei" w:hAnsi="SimHei" w:eastAsia="SimHei" w:cs="SimHei"/>
          <w:sz w:val="34"/>
          <w:szCs w:val="34"/>
          <w:spacing w:val="-42"/>
        </w:rPr>
        <w:t xml:space="preserve"> </w:t>
      </w:r>
      <w:r>
        <w:rPr>
          <w:rFonts w:ascii="SimHei" w:hAnsi="SimHei" w:eastAsia="SimHei" w:cs="SimHei"/>
          <w:sz w:val="34"/>
          <w:szCs w:val="34"/>
          <w:b/>
          <w:bCs/>
          <w:spacing w:val="-17"/>
        </w:rPr>
        <w:t>则</w:t>
      </w:r>
    </w:p>
    <w:p>
      <w:pPr>
        <w:ind w:right="47" w:firstLine="624"/>
        <w:spacing w:before="233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2"/>
        </w:rPr>
        <w:t>第一条</w:t>
      </w:r>
      <w:r>
        <w:rPr>
          <w:rFonts w:ascii="SimHei" w:hAnsi="SimHei" w:eastAsia="SimHei" w:cs="SimHei"/>
          <w:sz w:val="30"/>
          <w:szCs w:val="30"/>
          <w:spacing w:val="1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为规范和加强我省科技发展专项资金(以下简称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“专项资金”)管理，提高资金使用效益，更好服务和支持科技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强省建设，根据《中华人民共和国预算法》《陕西省省</w:t>
      </w:r>
      <w:r>
        <w:rPr>
          <w:rFonts w:ascii="FangSong" w:hAnsi="FangSong" w:eastAsia="FangSong" w:cs="FangSong"/>
          <w:sz w:val="30"/>
          <w:szCs w:val="30"/>
          <w:spacing w:val="1"/>
        </w:rPr>
        <w:t>级财政专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项资金管理办法》(陕政发〔2018〕25号)、《陕西省人民政府办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公厅关于改革完善省级财政科研经费管理的实施意见》</w:t>
      </w:r>
      <w:r>
        <w:rPr>
          <w:rFonts w:ascii="FangSong" w:hAnsi="FangSong" w:eastAsia="FangSong" w:cs="FangSong"/>
          <w:sz w:val="30"/>
          <w:szCs w:val="30"/>
          <w:spacing w:val="8"/>
        </w:rPr>
        <w:t>(陕政办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发〔2022〕3号)等规定，结合我省实际，制定本办法。</w:t>
      </w:r>
    </w:p>
    <w:p>
      <w:pPr>
        <w:ind w:right="26" w:firstLine="624"/>
        <w:spacing w:before="75" w:line="36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第二条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本办法所称专项资金是指由省级财政预算安排，用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于支持我省科技事业发展，实施省科技发展计划项目，提升我省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科技创新能力的专项资金。</w:t>
      </w:r>
    </w:p>
    <w:p>
      <w:pPr>
        <w:ind w:firstLine="624"/>
        <w:spacing w:before="37" w:line="36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第三条</w:t>
      </w:r>
      <w:r>
        <w:rPr>
          <w:rFonts w:ascii="SimHei" w:hAnsi="SimHei" w:eastAsia="SimHei" w:cs="SimHei"/>
          <w:sz w:val="30"/>
          <w:szCs w:val="30"/>
          <w:spacing w:val="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专项资金按照“集中财力、突出重点，分类支持、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合理配置，明晰权责、放管结合，遵循规律、注重绩效”的原则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管理和使用。</w:t>
      </w:r>
    </w:p>
    <w:p>
      <w:pPr>
        <w:ind w:right="29" w:firstLine="624"/>
        <w:spacing w:before="44" w:line="35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第四条</w:t>
      </w:r>
      <w:r>
        <w:rPr>
          <w:rFonts w:ascii="SimHei" w:hAnsi="SimHei" w:eastAsia="SimHei" w:cs="SimHei"/>
          <w:sz w:val="30"/>
          <w:szCs w:val="30"/>
          <w:spacing w:val="1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省财政厅主要负责专项资金预算管理，</w:t>
      </w:r>
      <w:r>
        <w:rPr>
          <w:rFonts w:ascii="FangSong" w:hAnsi="FangSong" w:eastAsia="FangSong" w:cs="FangSong"/>
          <w:sz w:val="30"/>
          <w:szCs w:val="30"/>
          <w:spacing w:val="3"/>
        </w:rPr>
        <w:t>根据省级财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力情况核定专项资金预算，审核专项资金分配建议和绩效目标，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按照国库集中支付相关要求，及时下达预算，并会同省科技厅开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展全过程预算绩效管理和财会监督等工作。</w:t>
      </w:r>
    </w:p>
    <w:p>
      <w:pPr>
        <w:ind w:right="56" w:firstLine="619"/>
        <w:spacing w:before="56" w:line="35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省科技厅主要负责专项资金项目申报、评审和</w:t>
      </w:r>
      <w:r>
        <w:rPr>
          <w:rFonts w:ascii="FangSong" w:hAnsi="FangSong" w:eastAsia="FangSong" w:cs="FangSong"/>
          <w:sz w:val="30"/>
          <w:szCs w:val="30"/>
          <w:spacing w:val="2"/>
        </w:rPr>
        <w:t>立项；提出专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项资金分配建议方案；组织实施全过程预算绩效管理，开展事前</w:t>
      </w:r>
    </w:p>
    <w:p>
      <w:pPr>
        <w:spacing w:line="353" w:lineRule="auto"/>
        <w:sectPr>
          <w:footerReference w:type="default" r:id="rId7"/>
          <w:pgSz w:w="11920" w:h="16920"/>
          <w:pgMar w:top="1438" w:right="1599" w:bottom="1530" w:left="1769" w:header="0" w:footer="123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right="47"/>
        <w:spacing w:before="97" w:line="36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绩效评估，科学设立专项资金绩效目标，实施绩</w:t>
      </w:r>
      <w:r>
        <w:rPr>
          <w:rFonts w:ascii="FangSong" w:hAnsi="FangSong" w:eastAsia="FangSong" w:cs="FangSong"/>
          <w:sz w:val="30"/>
          <w:szCs w:val="30"/>
          <w:spacing w:val="1"/>
        </w:rPr>
        <w:t>效运行监控；组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织实施项目过程管理和资金使用监督；开展项目综合绩效</w:t>
      </w:r>
      <w:r>
        <w:rPr>
          <w:rFonts w:ascii="FangSong" w:hAnsi="FangSong" w:eastAsia="FangSong" w:cs="FangSong"/>
          <w:sz w:val="30"/>
          <w:szCs w:val="30"/>
          <w:spacing w:val="2"/>
        </w:rPr>
        <w:t>评价和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专项资金绩效评价和结果应用。</w:t>
      </w:r>
    </w:p>
    <w:p>
      <w:pPr>
        <w:ind w:right="63" w:firstLine="620"/>
        <w:spacing w:before="43" w:line="35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项目承担单位是项目资金使用和管理的责任主体，负责项目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日常管理、预算绩效管理和资金合规使用等方面工作。项目</w:t>
      </w:r>
      <w:r>
        <w:rPr>
          <w:rFonts w:ascii="FangSong" w:hAnsi="FangSong" w:eastAsia="FangSong" w:cs="FangSong"/>
          <w:sz w:val="30"/>
          <w:szCs w:val="30"/>
        </w:rPr>
        <w:t>负责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人是项目资金使用的直接责任人，对项目资金使用的合规性、合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理性、真实性和相关性负责。</w:t>
      </w:r>
    </w:p>
    <w:p>
      <w:pPr>
        <w:ind w:left="624" w:right="2315" w:firstLine="1629"/>
        <w:spacing w:before="60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6"/>
        </w:rPr>
        <w:t>第二章支持方向和开支范围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"/>
        </w:rPr>
        <w:t>第五条</w:t>
      </w:r>
      <w:r>
        <w:rPr>
          <w:rFonts w:ascii="SimHei" w:hAnsi="SimHei" w:eastAsia="SimHei" w:cs="SimHei"/>
          <w:sz w:val="30"/>
          <w:szCs w:val="30"/>
          <w:spacing w:val="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专项资金主要支持以下方向：</w:t>
      </w:r>
    </w:p>
    <w:p>
      <w:pPr>
        <w:ind w:right="39" w:firstLine="620"/>
        <w:spacing w:before="14" w:line="36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1.贯彻党中央、国务院和中央科技委员会重大决策部署，落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实省委、省政府和省委科技委员会部署安排需要支持的事项。</w:t>
      </w:r>
    </w:p>
    <w:p>
      <w:pPr>
        <w:ind w:right="50" w:firstLine="620"/>
        <w:spacing w:before="26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2.科技重大专项。围绕制约我省经济社会发展重点领域、重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点产业的重大科技需求，支持重大关键共性技术攻</w:t>
      </w:r>
      <w:r>
        <w:rPr>
          <w:rFonts w:ascii="FangSong" w:hAnsi="FangSong" w:eastAsia="FangSong" w:cs="FangSong"/>
          <w:sz w:val="30"/>
          <w:szCs w:val="30"/>
          <w:spacing w:val="2"/>
        </w:rPr>
        <w:t>关、重大产品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开发、重大工程建设，推动重大科技成果应用及产业化。</w:t>
      </w:r>
    </w:p>
    <w:p>
      <w:pPr>
        <w:ind w:right="53" w:firstLine="620"/>
        <w:spacing w:before="37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3.重点研发计划。重点支持市场不能有效配置资源的</w:t>
      </w:r>
      <w:r>
        <w:rPr>
          <w:rFonts w:ascii="FangSong" w:hAnsi="FangSong" w:eastAsia="FangSong" w:cs="FangSong"/>
          <w:sz w:val="30"/>
          <w:szCs w:val="30"/>
          <w:spacing w:val="1"/>
        </w:rPr>
        <w:t>基础前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沿、社会公益、关键共性技术研究、产品研</w:t>
      </w:r>
      <w:r>
        <w:rPr>
          <w:rFonts w:ascii="FangSong" w:hAnsi="FangSong" w:eastAsia="FangSong" w:cs="FangSong"/>
          <w:sz w:val="30"/>
          <w:szCs w:val="30"/>
          <w:spacing w:val="2"/>
        </w:rPr>
        <w:t>发、试验推广及国际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合作等公共科技活动。鼓励产学研用协同创新，为我省经济社会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发展提供支撑。</w:t>
      </w:r>
    </w:p>
    <w:p>
      <w:pPr>
        <w:ind w:firstLine="620"/>
        <w:spacing w:before="47" w:line="378" w:lineRule="auto"/>
        <w:jc w:val="both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4.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自然科学基础研究计划。瞄准科技前沿，支持原始创</w:t>
      </w:r>
      <w:r>
        <w:rPr>
          <w:rFonts w:ascii="FangSong" w:hAnsi="FangSong" w:eastAsia="FangSong" w:cs="FangSong"/>
          <w:sz w:val="30"/>
          <w:szCs w:val="30"/>
        </w:rPr>
        <w:t>新，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培育自主知识产权。推进基础研究与应用研究融通创新发展，提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高科技持续创新能力，促进陕西科学技术进步和经济社会可持续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3"/>
        </w:rPr>
        <w:t>发</w:t>
      </w:r>
      <w:r>
        <w:rPr>
          <w:rFonts w:ascii="FangSong" w:hAnsi="FangSong" w:eastAsia="FangSong" w:cs="FangSong"/>
          <w:sz w:val="23"/>
          <w:szCs w:val="23"/>
          <w:spacing w:val="-1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3"/>
        </w:rPr>
        <w:t>展</w:t>
      </w:r>
      <w:r>
        <w:rPr>
          <w:rFonts w:ascii="FangSong" w:hAnsi="FangSong" w:eastAsia="FangSong" w:cs="FangSong"/>
          <w:sz w:val="23"/>
          <w:szCs w:val="23"/>
          <w:spacing w:val="-3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3"/>
        </w:rPr>
        <w:t>。</w:t>
      </w:r>
    </w:p>
    <w:p>
      <w:pPr>
        <w:spacing w:line="378" w:lineRule="auto"/>
        <w:sectPr>
          <w:footerReference w:type="default" r:id="rId8"/>
          <w:pgSz w:w="11880" w:h="16880"/>
          <w:pgMar w:top="1434" w:right="1699" w:bottom="1460" w:left="1650" w:header="0" w:footer="1162" w:gutter="0"/>
        </w:sectPr>
        <w:rPr>
          <w:rFonts w:ascii="FangSong" w:hAnsi="FangSong" w:eastAsia="FangSong" w:cs="FangSong"/>
          <w:sz w:val="23"/>
          <w:szCs w:val="23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right="85" w:firstLine="649"/>
        <w:spacing w:before="98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5.技术创新引导计划。支持培育和孵化科技型企业；支持以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企业为主体的“产学研用”联合协同创新活动，促进科技成果转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移转化和资本化、产业化。营造良好的创新创业环境，引导企业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加大科技投入，成为技术创新决策、投入、</w:t>
      </w:r>
      <w:r>
        <w:rPr>
          <w:rFonts w:ascii="FangSong" w:hAnsi="FangSong" w:eastAsia="FangSong" w:cs="FangSong"/>
          <w:sz w:val="30"/>
          <w:szCs w:val="30"/>
          <w:spacing w:val="2"/>
        </w:rPr>
        <w:t>组织和成果转化的主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体。</w:t>
      </w:r>
    </w:p>
    <w:p>
      <w:pPr>
        <w:ind w:right="49" w:firstLine="649"/>
        <w:spacing w:before="41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6.创新能力支撑计划。支持各类科技创新平台、基地建设，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促进科技资源开放共享；支持提升区域创新能力和科技服务能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力；支持培养高水平创新人才和科研团队；支持科技政策和规划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的前瞻性研究；支持创新服务体系建设，加强创新创业载体建设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和环境优化，激发我省创新活力。</w:t>
      </w:r>
    </w:p>
    <w:p>
      <w:pPr>
        <w:ind w:left="649"/>
        <w:spacing w:before="74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7.其他根据全省科技创新发展实际需要支持的事项。</w:t>
      </w:r>
    </w:p>
    <w:p>
      <w:pPr>
        <w:ind w:firstLine="649"/>
        <w:spacing w:before="222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7"/>
        </w:rPr>
        <w:t>第六条</w:t>
      </w:r>
      <w:r>
        <w:rPr>
          <w:rFonts w:ascii="SimHei" w:hAnsi="SimHei" w:eastAsia="SimHei" w:cs="SimHei"/>
          <w:sz w:val="30"/>
          <w:szCs w:val="30"/>
          <w:spacing w:val="1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专项资金主要采取前补助和后补助两种支持方式，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可根据科技研发活动及资助项目属性采取其他支持方式。前补助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是指由财政在项目立项后核定预算，给予部分或全部补助的财政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支持方式；后补助是指对项目承担单位先行投入的</w:t>
      </w:r>
      <w:r>
        <w:rPr>
          <w:rFonts w:ascii="FangSong" w:hAnsi="FangSong" w:eastAsia="FangSong" w:cs="FangSong"/>
          <w:sz w:val="30"/>
          <w:szCs w:val="30"/>
          <w:spacing w:val="2"/>
        </w:rPr>
        <w:t>资金、取得的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成果、达到预期绩效和提供的服务，在通过审核</w:t>
      </w:r>
      <w:r>
        <w:rPr>
          <w:rFonts w:ascii="FangSong" w:hAnsi="FangSong" w:eastAsia="FangSong" w:cs="FangSong"/>
          <w:sz w:val="30"/>
          <w:szCs w:val="30"/>
          <w:spacing w:val="2"/>
        </w:rPr>
        <w:t>验收、评估评审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后，给予相应补助的财政支持方式。</w:t>
      </w:r>
    </w:p>
    <w:p>
      <w:pPr>
        <w:ind w:right="65" w:firstLine="654"/>
        <w:spacing w:before="98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第七条</w:t>
      </w:r>
      <w:r>
        <w:rPr>
          <w:rFonts w:ascii="SimHei" w:hAnsi="SimHei" w:eastAsia="SimHei" w:cs="SimHei"/>
          <w:sz w:val="30"/>
          <w:szCs w:val="30"/>
          <w:spacing w:val="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采用前补助支持方式的项目资金开支范围包括直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接费用和间接费用两部分。</w:t>
      </w:r>
    </w:p>
    <w:p>
      <w:pPr>
        <w:ind w:right="66" w:firstLine="800"/>
        <w:spacing w:before="31" w:line="35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(一)直接费用是指在项目实施过程中发生的与之直接</w:t>
      </w:r>
      <w:r>
        <w:rPr>
          <w:rFonts w:ascii="FangSong" w:hAnsi="FangSong" w:eastAsia="FangSong" w:cs="FangSong"/>
          <w:sz w:val="30"/>
          <w:szCs w:val="30"/>
          <w:spacing w:val="8"/>
        </w:rPr>
        <w:t>相关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的费用。主要包括：</w:t>
      </w:r>
    </w:p>
    <w:p>
      <w:pPr>
        <w:ind w:left="649"/>
        <w:spacing w:before="42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1.设备费：是指在项目实施过程中购置或试制专用仪器设</w:t>
      </w:r>
    </w:p>
    <w:p>
      <w:pPr>
        <w:spacing w:line="219" w:lineRule="auto"/>
        <w:sectPr>
          <w:footerReference w:type="default" r:id="rId9"/>
          <w:pgSz w:w="11920" w:h="16920"/>
          <w:pgMar w:top="1438" w:right="1589" w:bottom="1510" w:left="1729" w:header="0" w:footer="121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59"/>
        <w:spacing w:before="97" w:line="35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备，对现有仪器设备进行升级改造，以及租赁外单位仪器设备而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发生的费用。计算类仪器设备和软件工具可在设备费科目</w:t>
      </w:r>
      <w:r>
        <w:rPr>
          <w:rFonts w:ascii="FangSong" w:hAnsi="FangSong" w:eastAsia="FangSong" w:cs="FangSong"/>
          <w:sz w:val="30"/>
          <w:szCs w:val="30"/>
          <w:spacing w:val="3"/>
        </w:rPr>
        <w:t>列支。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应当严格控制设备购置，鼓励开放共享、自主研制、租赁专用仪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器设备以及对现有仪器设备进行升级改造，避免重复购置。</w:t>
      </w:r>
    </w:p>
    <w:p>
      <w:pPr>
        <w:ind w:right="108" w:firstLine="629"/>
        <w:spacing w:before="80" w:line="35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2.业务费：是指在项目实施过程中消耗的各种材料、辅助材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料等低值易耗品的采购、运输、装卸、整理等费用，发生的测试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化验加工、燃料动力、出版/文献/信息传播/知识产权事务、会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议/差旅/国际合作交流等费用，以及其他相关支出。</w:t>
      </w:r>
    </w:p>
    <w:p>
      <w:pPr>
        <w:ind w:right="60" w:firstLine="629"/>
        <w:spacing w:before="69" w:line="35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3.劳务费：是指在项目实施过程中支付给参与项目的研究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生、博士后、访问学者和项目聘用的研究人员、科研助理及辅助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人员等的劳务性费用，以及支付给临时聘请的咨询专家的费用等。</w:t>
      </w:r>
    </w:p>
    <w:p>
      <w:pPr>
        <w:ind w:right="106" w:firstLine="629"/>
        <w:spacing w:before="53" w:line="36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项目聘用人员劳务费开支标准，参照当地科学研究和技术服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务业从业人员平均工资水平，根据其在项目研究中承担的工作任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务确定，其由单位缴纳的社会保险补助、住房公积金等纳入劳务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费科目开支。</w:t>
      </w:r>
    </w:p>
    <w:p>
      <w:pPr>
        <w:ind w:right="92" w:firstLine="629"/>
        <w:spacing w:before="35" w:line="35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支付给临时聘请的咨询专家的费用，不得支付给参与本项目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及所属课题研究和管理的相关人员，其标准按</w:t>
      </w:r>
      <w:r>
        <w:rPr>
          <w:rFonts w:ascii="FangSong" w:hAnsi="FangSong" w:eastAsia="FangSong" w:cs="FangSong"/>
          <w:sz w:val="30"/>
          <w:szCs w:val="30"/>
          <w:spacing w:val="2"/>
        </w:rPr>
        <w:t>照省级专家咨询费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有关规定执行。</w:t>
      </w:r>
    </w:p>
    <w:p>
      <w:pPr>
        <w:ind w:firstLine="779"/>
        <w:spacing w:before="30" w:line="36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(二)间接费用是指项目在组织实施过程中</w:t>
      </w:r>
      <w:r>
        <w:rPr>
          <w:rFonts w:ascii="FangSong" w:hAnsi="FangSong" w:eastAsia="FangSong" w:cs="FangSong"/>
          <w:sz w:val="30"/>
          <w:szCs w:val="30"/>
          <w:spacing w:val="7"/>
        </w:rPr>
        <w:t>，发生的无法在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直接费用中列支的相关费用。主要包括：项目承担单位为项目研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究提供的现有仪器设备及房屋占用，日常水、电、气、暖等消耗，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有关管理费用的补助支出，以及激励科研人员的绩效支出等。</w:t>
      </w:r>
    </w:p>
    <w:p>
      <w:pPr>
        <w:spacing w:line="362" w:lineRule="auto"/>
        <w:sectPr>
          <w:footerReference w:type="default" r:id="rId10"/>
          <w:pgSz w:w="11880" w:h="16880"/>
          <w:pgMar w:top="1434" w:right="1669" w:bottom="1450" w:left="1640" w:header="0" w:footer="115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4" w:right="133" w:firstLine="619"/>
        <w:spacing w:before="98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间接费用实行总额控制，按照不超过直接费用扣除设备购置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8"/>
        </w:rPr>
        <w:t>费后的一定比例执行：</w:t>
      </w:r>
    </w:p>
    <w:p>
      <w:pPr>
        <w:ind w:left="644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"/>
        </w:rPr>
        <w:t>1.100万元(含)以下的部分为35%。</w:t>
      </w:r>
    </w:p>
    <w:p>
      <w:pPr>
        <w:ind w:left="644" w:right="1899"/>
        <w:spacing w:before="202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4"/>
        </w:rPr>
        <w:t>2.100万元至500万元(含)的部分为30%。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b/>
          <w:bCs/>
          <w:spacing w:val="2"/>
        </w:rPr>
        <w:t>3.500万元至1000万元(含)的部分为25</w:t>
      </w:r>
      <w:r>
        <w:rPr>
          <w:rFonts w:ascii="FangSong" w:hAnsi="FangSong" w:eastAsia="FangSong" w:cs="FangSong"/>
          <w:sz w:val="33"/>
          <w:szCs w:val="33"/>
          <w:b/>
          <w:bCs/>
          <w:spacing w:val="1"/>
        </w:rPr>
        <w:t>%。</w:t>
      </w:r>
    </w:p>
    <w:p>
      <w:pPr>
        <w:ind w:left="644"/>
        <w:spacing w:before="53" w:line="222" w:lineRule="auto"/>
        <w:outlineLvl w:val="6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5"/>
        </w:rPr>
        <w:t>4.1000万元以上的部分为20%。</w:t>
      </w:r>
    </w:p>
    <w:p>
      <w:pPr>
        <w:ind w:left="24" w:right="125" w:firstLine="619"/>
        <w:spacing w:before="211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2"/>
        </w:rPr>
        <w:t>对数学等纯理论基础研究项目，软件开发、集成电路设计等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智力密集型项目，间接费用比例可进一步提高到不超过60%。</w:t>
      </w:r>
    </w:p>
    <w:p>
      <w:pPr>
        <w:ind w:left="20" w:right="79" w:firstLine="619"/>
        <w:spacing w:before="26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间接费用由项目承担单位统筹安排使用。项目承担单位应当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建立健全间接费用的内部管理办法，公开透明、合规合理使用间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接费用，处理好分摊间接成本和对科研人员激励的关系。绩效支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出安排应当与科研人员在项目工作中的实际贡献挂钩。项目承担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单位可将间接费用全部用于绩效支出，并向创新绩效突出的团队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和个人倾斜。</w:t>
      </w:r>
    </w:p>
    <w:p>
      <w:pPr>
        <w:ind w:right="59" w:firstLine="639"/>
        <w:spacing w:before="94" w:line="35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项目中有多个参与单位的，间接费用在总额范围内由项目承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担单位与参与单位协商分配。项目承担单位不得在核定的间接费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用以外，再以任何名义在项目资金中重复提</w:t>
      </w:r>
      <w:r>
        <w:rPr>
          <w:rFonts w:ascii="FangSong" w:hAnsi="FangSong" w:eastAsia="FangSong" w:cs="FangSong"/>
          <w:sz w:val="30"/>
          <w:szCs w:val="30"/>
          <w:spacing w:val="5"/>
        </w:rPr>
        <w:t>取、列支相关费用。</w:t>
      </w:r>
    </w:p>
    <w:p>
      <w:pPr>
        <w:ind w:left="20" w:firstLine="619"/>
        <w:spacing w:before="64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7"/>
        </w:rPr>
        <w:t>第八条</w:t>
      </w:r>
      <w:r>
        <w:rPr>
          <w:rFonts w:ascii="SimHei" w:hAnsi="SimHei" w:eastAsia="SimHei" w:cs="SimHei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7"/>
        </w:rPr>
        <w:t>采取后补助项目资金应主要用于支持独立法人资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格企业、高校和科研院所等企事业单位以及其他各类从事科技创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新活动的主体，不得直接设置补助对象为各</w:t>
      </w:r>
      <w:r>
        <w:rPr>
          <w:rFonts w:ascii="FangSong" w:hAnsi="FangSong" w:eastAsia="FangSong" w:cs="FangSong"/>
          <w:sz w:val="30"/>
          <w:szCs w:val="30"/>
          <w:spacing w:val="12"/>
        </w:rPr>
        <w:t>市(区)科技管理部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门的后补助项目。后补助资金由项目承担单位自主安排用于与科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技创新直接相关的活动，但不得用于支付各种罚款、捐款、赞助、</w:t>
      </w:r>
    </w:p>
    <w:p>
      <w:pPr>
        <w:spacing w:line="357" w:lineRule="auto"/>
        <w:sectPr>
          <w:footerReference w:type="default" r:id="rId11"/>
          <w:pgSz w:w="11920" w:h="16900"/>
          <w:pgMar w:top="1436" w:right="1560" w:bottom="1520" w:left="1739" w:header="0" w:footer="122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right="1620"/>
        <w:spacing w:before="97" w:line="35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投资、偿还债务等支出，不得用于行政事业单位编制内在职人员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工资性支出和离退休人员补贴，以及国家和省级规定禁止列支的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其他支出。</w:t>
      </w:r>
    </w:p>
    <w:p>
      <w:pPr>
        <w:ind w:left="634"/>
        <w:spacing w:before="6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第九条</w:t>
      </w:r>
      <w:r>
        <w:rPr>
          <w:rFonts w:ascii="SimHei" w:hAnsi="SimHei" w:eastAsia="SimHei" w:cs="SimHei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</w:rPr>
        <w:t>以上支持方向和开支范围等相关规定如遇国家和</w:t>
      </w:r>
    </w:p>
    <w:p>
      <w:pPr>
        <w:spacing w:before="240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省级相关政策调整的，按最新政策执行。</w:t>
      </w:r>
    </w:p>
    <w:p>
      <w:pPr>
        <w:ind w:left="2584"/>
        <w:spacing w:before="229" w:line="222" w:lineRule="auto"/>
        <w:outlineLvl w:val="6"/>
        <w:rPr>
          <w:rFonts w:ascii="SimHei" w:hAnsi="SimHei" w:eastAsia="SimHei" w:cs="SimHei"/>
          <w:sz w:val="30"/>
          <w:szCs w:val="30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6324563</wp:posOffset>
            </wp:positionH>
            <wp:positionV relativeFrom="paragraph">
              <wp:posOffset>325668</wp:posOffset>
            </wp:positionV>
            <wp:extent cx="76168" cy="8253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68" cy="8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0"/>
          <w:szCs w:val="30"/>
          <w:b/>
          <w:bCs/>
          <w:spacing w:val="31"/>
        </w:rPr>
        <w:t>第三章项目和预算管理</w:t>
      </w:r>
    </w:p>
    <w:p>
      <w:pPr>
        <w:ind w:right="1578" w:firstLine="629"/>
        <w:spacing w:before="230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5"/>
        </w:rPr>
        <w:t>第十条</w:t>
      </w:r>
      <w:r>
        <w:rPr>
          <w:rFonts w:ascii="SimHei" w:hAnsi="SimHei" w:eastAsia="SimHei" w:cs="SimHei"/>
          <w:sz w:val="30"/>
          <w:szCs w:val="30"/>
          <w:spacing w:val="9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专项资金采取项目法进行分配，纳入省科技发展计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划项目库管理。</w:t>
      </w:r>
    </w:p>
    <w:p>
      <w:pPr>
        <w:ind w:right="1592" w:firstLine="629"/>
        <w:spacing w:before="34" w:line="35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5"/>
        </w:rPr>
        <w:t>第十一条</w:t>
      </w:r>
      <w:r>
        <w:rPr>
          <w:rFonts w:ascii="SimHei" w:hAnsi="SimHei" w:eastAsia="SimHei" w:cs="SimHei"/>
          <w:sz w:val="30"/>
          <w:szCs w:val="30"/>
          <w:spacing w:val="1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对前补助项目省科技厅根据年度工作计划原则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上于每年6月底之前发布下一年度省科技发展计划项目申报指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南，采取申报一评审制，按照以下程序进行：</w:t>
      </w:r>
    </w:p>
    <w:p>
      <w:pPr>
        <w:ind w:right="1580" w:firstLine="769"/>
        <w:spacing w:before="36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(一)项目申报。由项目申报单位按照指南编</w:t>
      </w:r>
      <w:r>
        <w:rPr>
          <w:rFonts w:ascii="FangSong" w:hAnsi="FangSong" w:eastAsia="FangSong" w:cs="FangSong"/>
          <w:sz w:val="30"/>
          <w:szCs w:val="30"/>
          <w:spacing w:val="8"/>
        </w:rPr>
        <w:t>制项目申报材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料，主要内容包括实施主体、目标任务、绩效目标、资金规模及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结构、实施期限等。项目申报采取公开竞争、定向择优、定</w:t>
      </w:r>
      <w:r>
        <w:rPr>
          <w:rFonts w:ascii="FangSong" w:hAnsi="FangSong" w:eastAsia="FangSong" w:cs="FangSong"/>
          <w:sz w:val="30"/>
          <w:szCs w:val="30"/>
          <w:spacing w:val="1"/>
        </w:rPr>
        <w:t>向委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托、“揭榜挂帅”“赛马制”等方式。具体方式由省科技厅根据实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际情况采用实施。</w:t>
      </w:r>
    </w:p>
    <w:p>
      <w:pPr>
        <w:ind w:right="1519" w:firstLine="629"/>
        <w:spacing w:before="87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项目申报单位应当按照政策相符性、目标相关性和经济合理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性原则，科学、合理、真实地编制预算，对设备费</w:t>
      </w:r>
      <w:r>
        <w:rPr>
          <w:rFonts w:ascii="FangSong" w:hAnsi="FangSong" w:eastAsia="FangSong" w:cs="FangSong"/>
          <w:sz w:val="30"/>
          <w:szCs w:val="30"/>
          <w:spacing w:val="2"/>
        </w:rPr>
        <w:t>、业务费、劳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务费预算应据实编制，不得简单按比例编制。对仪器设备购置、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参与单位资质及拟外拨资金进行重点说明，并申明现有的实施条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件和从单位外部可能获得的共享服务。直接费</w:t>
      </w:r>
      <w:r>
        <w:rPr>
          <w:rFonts w:ascii="FangSong" w:hAnsi="FangSong" w:eastAsia="FangSong" w:cs="FangSong"/>
          <w:sz w:val="30"/>
          <w:szCs w:val="30"/>
          <w:spacing w:val="13"/>
        </w:rPr>
        <w:t>用中除50万元以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上的设备费外，其他费用只提供基本测算说明，不需要提供明细。</w:t>
      </w:r>
    </w:p>
    <w:p>
      <w:pPr>
        <w:spacing w:line="358" w:lineRule="auto"/>
        <w:sectPr>
          <w:footerReference w:type="default" r:id="rId12"/>
          <w:pgSz w:w="11900" w:h="16880"/>
          <w:pgMar w:top="1434" w:right="180" w:bottom="1450" w:left="1640" w:header="0" w:footer="115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right="76" w:firstLine="600"/>
        <w:spacing w:before="97" w:line="36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对为完成科研项目任务目标、从科研经费中列支的国际合作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与交流费用不编制为“三公”经费预算，不纳入“三公”经费统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计范围，不受零增长要求限制。</w:t>
      </w:r>
    </w:p>
    <w:p>
      <w:pPr>
        <w:ind w:right="35" w:firstLine="600"/>
        <w:spacing w:before="41" w:line="36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包干制项目不再编制项目预算，不设置直接费用和间接费用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比例限制，由项目负责人按照本办法第七条规定的开支范围</w:t>
      </w:r>
      <w:r>
        <w:rPr>
          <w:rFonts w:ascii="FangSong" w:hAnsi="FangSong" w:eastAsia="FangSong" w:cs="FangSong"/>
          <w:sz w:val="30"/>
          <w:szCs w:val="30"/>
          <w:spacing w:val="1"/>
        </w:rPr>
        <w:t>自主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决定使用，无需履行调剂程序。对于项目承担单位为项目研究提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供的房屋占用，日常水、电、气、暖等消耗，有关管理费用的补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助支出，由项目承担单位根据实际管理需要合理确定。对于激励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科研人员的绩效支出，由项目负责人根据实际科研需要和相关薪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酬标准自主确定，项目承担单位按照工资制度进行管理。包干制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项目执行期满后，项目负责人应当编制项目资金决算</w:t>
      </w:r>
      <w:r>
        <w:rPr>
          <w:rFonts w:ascii="FangSong" w:hAnsi="FangSong" w:eastAsia="FangSong" w:cs="FangSong"/>
          <w:sz w:val="30"/>
          <w:szCs w:val="30"/>
          <w:spacing w:val="2"/>
        </w:rPr>
        <w:t>，在一定范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围内公开，经项目承担单位审核后报省科技厅</w:t>
      </w:r>
      <w:r>
        <w:rPr>
          <w:rFonts w:ascii="FangSong" w:hAnsi="FangSong" w:eastAsia="FangSong" w:cs="FangSong"/>
          <w:sz w:val="30"/>
          <w:szCs w:val="30"/>
          <w:spacing w:val="3"/>
        </w:rPr>
        <w:t>备案。</w:t>
      </w:r>
    </w:p>
    <w:p>
      <w:pPr>
        <w:ind w:firstLine="739"/>
        <w:spacing w:before="104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(二)项目评审。由省科技厅按照省科技发展计划子</w:t>
      </w:r>
      <w:r>
        <w:rPr>
          <w:rFonts w:ascii="FangSong" w:hAnsi="FangSong" w:eastAsia="FangSong" w:cs="FangSong"/>
          <w:sz w:val="30"/>
          <w:szCs w:val="30"/>
          <w:spacing w:val="8"/>
        </w:rPr>
        <w:t>计划项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目管理办法，组织相关领域专家对项目先进性、科</w:t>
      </w:r>
      <w:r>
        <w:rPr>
          <w:rFonts w:ascii="FangSong" w:hAnsi="FangSong" w:eastAsia="FangSong" w:cs="FangSong"/>
          <w:sz w:val="30"/>
          <w:szCs w:val="30"/>
          <w:spacing w:val="1"/>
        </w:rPr>
        <w:t>学性、可行性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和绩效目标合理性等因素进行论证，采用网络评审、会议评审、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答辩评审等方式，有条件的要录像录音，实现评审全过程的可申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诉、可查询、可追溯。</w:t>
      </w:r>
    </w:p>
    <w:p>
      <w:pPr>
        <w:ind w:right="77" w:firstLine="600"/>
        <w:spacing w:before="85" w:line="35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省科技厅合并项目评审和预算评审，在项目</w:t>
      </w:r>
      <w:r>
        <w:rPr>
          <w:rFonts w:ascii="FangSong" w:hAnsi="FangSong" w:eastAsia="FangSong" w:cs="FangSong"/>
          <w:sz w:val="30"/>
          <w:szCs w:val="30"/>
          <w:spacing w:val="2"/>
        </w:rPr>
        <w:t>评审时同步开展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预算评审，按照规范的程序和要求，坚持独立、客观、公正、科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学的原则，对项目以及课题申报预算的政策相符</w:t>
      </w:r>
      <w:r>
        <w:rPr>
          <w:rFonts w:ascii="FangSong" w:hAnsi="FangSong" w:eastAsia="FangSong" w:cs="FangSong"/>
          <w:sz w:val="30"/>
          <w:szCs w:val="30"/>
          <w:spacing w:val="1"/>
        </w:rPr>
        <w:t>性、目标相关性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和经济合理性进行评审。评审专家应当满足相关回避要求。</w:t>
      </w:r>
    </w:p>
    <w:p>
      <w:pPr>
        <w:ind w:right="52"/>
        <w:spacing w:before="60" w:line="219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第十二条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</w:rPr>
        <w:t>后补助项目由省科技厅在本办法原则下根据不</w:t>
      </w:r>
    </w:p>
    <w:p>
      <w:pPr>
        <w:spacing w:line="219" w:lineRule="auto"/>
        <w:sectPr>
          <w:footerReference w:type="default" r:id="rId14"/>
          <w:pgSz w:w="11920" w:h="16880"/>
          <w:pgMar w:top="1434" w:right="1600" w:bottom="1502" w:left="1770" w:header="0" w:footer="120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right="41"/>
        <w:spacing w:before="97" w:line="39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同补助类型具体实施，并会同省财政厅明确</w:t>
      </w:r>
      <w:r>
        <w:rPr>
          <w:rFonts w:ascii="FangSong" w:hAnsi="FangSong" w:eastAsia="FangSong" w:cs="FangSong"/>
          <w:sz w:val="30"/>
          <w:szCs w:val="30"/>
          <w:spacing w:val="1"/>
        </w:rPr>
        <w:t>相关补助标准和考核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程</w:t>
      </w:r>
      <w:r>
        <w:rPr>
          <w:rFonts w:ascii="FangSong" w:hAnsi="FangSong" w:eastAsia="FangSong" w:cs="FangSong"/>
          <w:sz w:val="24"/>
          <w:szCs w:val="24"/>
          <w:spacing w:val="-1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序</w:t>
      </w:r>
      <w:r>
        <w:rPr>
          <w:rFonts w:ascii="FangSong" w:hAnsi="FangSong" w:eastAsia="FangSong" w:cs="FangSong"/>
          <w:sz w:val="24"/>
          <w:szCs w:val="24"/>
          <w:spacing w:val="-3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。</w:t>
      </w:r>
    </w:p>
    <w:p>
      <w:pPr>
        <w:ind w:right="8" w:firstLine="634"/>
        <w:spacing w:before="51" w:line="35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第十三条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3"/>
        </w:rPr>
        <w:t>省科技厅依据评审结果及其他项目管理要求确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定拟立项项目，根据科技创新和相关任务需求，科学合理编制专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项资金项目预算，在每年11月底之前将拟立项的下一年度项目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计划明细及绩效目标报省财政厅审核。</w:t>
      </w:r>
    </w:p>
    <w:p>
      <w:pPr>
        <w:ind w:right="17" w:firstLine="634"/>
        <w:spacing w:before="46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第十四条</w:t>
      </w:r>
      <w:r>
        <w:rPr>
          <w:rFonts w:ascii="SimHei" w:hAnsi="SimHei" w:eastAsia="SimHei" w:cs="SimHei"/>
          <w:sz w:val="30"/>
          <w:szCs w:val="30"/>
          <w:spacing w:val="9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省财政厅将按照《中华人民共和国预算法》《陕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西省省级财政专项资金管理办法》及预算管理、绩效管</w:t>
      </w:r>
      <w:r>
        <w:rPr>
          <w:rFonts w:ascii="FangSong" w:hAnsi="FangSong" w:eastAsia="FangSong" w:cs="FangSong"/>
          <w:sz w:val="30"/>
          <w:szCs w:val="30"/>
          <w:spacing w:val="1"/>
        </w:rPr>
        <w:t>理的要求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对专项资金分配建议进行审核。对审核无异议的专项资金项目预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算，可提前下达专项资金预算或按实际工作需要编入省科技厅年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初部门预算。</w:t>
      </w:r>
    </w:p>
    <w:p>
      <w:pPr>
        <w:ind w:firstLine="634"/>
        <w:spacing w:before="72" w:line="35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第十五条</w:t>
      </w:r>
      <w:r>
        <w:rPr>
          <w:rFonts w:ascii="SimHei" w:hAnsi="SimHei" w:eastAsia="SimHei" w:cs="SimHei"/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省科技厅应加强经费拨付与项目立项的</w:t>
      </w:r>
      <w:r>
        <w:rPr>
          <w:rFonts w:ascii="FangSong" w:hAnsi="FangSong" w:eastAsia="FangSong" w:cs="FangSong"/>
          <w:sz w:val="30"/>
          <w:szCs w:val="30"/>
          <w:spacing w:val="3"/>
        </w:rPr>
        <w:t>衔接，根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据不同类型科研项目特点、研究进度、资金需求等，合理制定经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费拨付计划，在项目任务书签订后30日内，将经费拨付至项目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承担单位，项目承担单位应在7个工作日内通知项目负责</w:t>
      </w:r>
      <w:r>
        <w:rPr>
          <w:rFonts w:ascii="FangSong" w:hAnsi="FangSong" w:eastAsia="FangSong" w:cs="FangSong"/>
          <w:sz w:val="30"/>
          <w:szCs w:val="30"/>
          <w:spacing w:val="7"/>
        </w:rPr>
        <w:t>人。项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目牵头单位要根据项目负责人意见，及时将经费拨付至项</w:t>
      </w:r>
      <w:r>
        <w:rPr>
          <w:rFonts w:ascii="FangSong" w:hAnsi="FangSong" w:eastAsia="FangSong" w:cs="FangSong"/>
          <w:sz w:val="30"/>
          <w:szCs w:val="30"/>
        </w:rPr>
        <w:t>目参与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单位。项目参与单位不得再向外转拨资金。逐级拨付资金时，项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目牵头单位不得无故拖延资金拨付，对于无故拖延资金拨付的单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位，省科技厅可采取约谈、暂停项目后续拨款等措施。</w:t>
      </w:r>
    </w:p>
    <w:p>
      <w:pPr>
        <w:ind w:right="2" w:firstLine="629"/>
        <w:spacing w:before="87" w:line="35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对于符合条件的“免审即享”等后补助项目资金，可提前报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送并核对拨款信息，加快拨付速度。</w:t>
      </w:r>
    </w:p>
    <w:p>
      <w:pPr>
        <w:ind w:right="16"/>
        <w:spacing w:before="30" w:line="219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第十六条</w:t>
      </w:r>
      <w:r>
        <w:rPr>
          <w:rFonts w:ascii="SimHei" w:hAnsi="SimHei" w:eastAsia="SimHei" w:cs="SimHei"/>
          <w:sz w:val="30"/>
          <w:szCs w:val="30"/>
          <w:spacing w:val="10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项目在合同执行期间，年度剩余资金可以结转下</w:t>
      </w:r>
    </w:p>
    <w:p>
      <w:pPr>
        <w:spacing w:line="219" w:lineRule="auto"/>
        <w:sectPr>
          <w:footerReference w:type="default" r:id="rId15"/>
          <w:pgSz w:w="11900" w:h="16860"/>
          <w:pgMar w:top="1433" w:right="1770" w:bottom="1471" w:left="1640" w:header="0" w:footer="117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1604" w:right="94"/>
        <w:spacing w:before="97" w:line="36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</w:rPr>
        <w:t>一年度继续使用。在项目预算额度不变的情况下，预算确需调剂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5"/>
        </w:rPr>
        <w:t>的，按以下规定予以调剂：</w:t>
      </w:r>
    </w:p>
    <w:p>
      <w:pPr>
        <w:ind w:left="1600" w:firstLine="739"/>
        <w:spacing w:before="1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(一)项目参与单位之间预算调剂的，由项目牵</w:t>
      </w:r>
      <w:r>
        <w:rPr>
          <w:rFonts w:ascii="FangSong" w:hAnsi="FangSong" w:eastAsia="FangSong" w:cs="FangSong"/>
          <w:sz w:val="30"/>
          <w:szCs w:val="30"/>
          <w:spacing w:val="1"/>
        </w:rPr>
        <w:t>头单位审批，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报省科技厅备案。</w:t>
      </w:r>
    </w:p>
    <w:p>
      <w:pPr>
        <w:ind w:left="1600" w:right="97" w:firstLine="739"/>
        <w:spacing w:before="205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(二)设备费预算调剂的，由项目负责人或参与单位的研究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任务负责人提出申请，所在单位统筹考虑现有设备配置情</w:t>
      </w:r>
      <w:r>
        <w:rPr>
          <w:rFonts w:ascii="FangSong" w:hAnsi="FangSong" w:eastAsia="FangSong" w:cs="FangSong"/>
          <w:sz w:val="30"/>
          <w:szCs w:val="30"/>
          <w:spacing w:val="2"/>
        </w:rPr>
        <w:t>况和科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研项目实际需求，及时办理审批手续。</w:t>
      </w:r>
    </w:p>
    <w:p>
      <w:pPr>
        <w:ind w:left="1600" w:right="86" w:firstLine="739"/>
        <w:spacing w:before="236" w:line="29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(三)除设备费外的其他直接费用调剂，由项目负责人或参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与单位的研究任务负责人根据科研活动实际需要自主安排。</w:t>
      </w:r>
    </w:p>
    <w:p>
      <w:pPr>
        <w:ind w:left="1600" w:right="95" w:firstLine="739"/>
        <w:spacing w:before="242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(四)项目间接费用预算总额不得调增，可由项目负责人或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参与单位的研究任务负责人根据科研活动实际需要自主调减用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于直接费用。</w:t>
      </w:r>
    </w:p>
    <w:p>
      <w:pPr>
        <w:ind w:left="1600" w:right="49" w:firstLine="609"/>
        <w:spacing w:before="208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1600780</wp:posOffset>
            </wp:positionV>
            <wp:extent cx="101578" cy="49531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78" cy="49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0"/>
          <w:szCs w:val="30"/>
          <w:spacing w:val="7"/>
        </w:rPr>
        <w:t>第十七条</w:t>
      </w:r>
      <w:r>
        <w:rPr>
          <w:rFonts w:ascii="SimHei" w:hAnsi="SimHei" w:eastAsia="SimHei" w:cs="SimHei"/>
          <w:sz w:val="30"/>
          <w:szCs w:val="30"/>
          <w:spacing w:val="10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项目承担单位应当全面落实科研财务助理制度。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根据工作需要为项目配备相对固定的科研财务助理，为科研人员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在预决算编制、经费报销、政府采购、绩效评价等</w:t>
      </w:r>
      <w:r>
        <w:rPr>
          <w:rFonts w:ascii="FangSong" w:hAnsi="FangSong" w:eastAsia="FangSong" w:cs="FangSong"/>
          <w:sz w:val="30"/>
          <w:szCs w:val="30"/>
          <w:spacing w:val="2"/>
        </w:rPr>
        <w:t>方面提供专业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化服务。科研财务助理所需人力成本费用(含社会保险补助、住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房公积金),可由项目承担单位根据情况通过科研项目经费等渠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道统筹解决。</w:t>
      </w:r>
    </w:p>
    <w:p>
      <w:pPr>
        <w:ind w:left="1600" w:right="88" w:firstLine="619"/>
        <w:spacing w:before="82" w:line="36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8"/>
        </w:rPr>
        <w:t>第十八条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项目承担单位要优化和完善内部管理规定，简化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科研仪器设备采购流程，对科研急需的设备和耗材</w:t>
      </w:r>
      <w:r>
        <w:rPr>
          <w:rFonts w:ascii="FangSong" w:hAnsi="FangSong" w:eastAsia="FangSong" w:cs="FangSong"/>
          <w:sz w:val="30"/>
          <w:szCs w:val="30"/>
          <w:spacing w:val="14"/>
        </w:rPr>
        <w:t>采用特事特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办、随到随办的采购机制，可不进行招标投标程序。对于独家代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理或生产的仪器设备，按程序确定采取单一来源采购等方式增强</w:t>
      </w:r>
    </w:p>
    <w:p>
      <w:pPr>
        <w:spacing w:line="362" w:lineRule="auto"/>
        <w:sectPr>
          <w:footerReference w:type="default" r:id="rId16"/>
          <w:pgSz w:w="11920" w:h="16880"/>
          <w:pgMar w:top="1434" w:right="1560" w:bottom="1491" w:left="169" w:header="0" w:footer="119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right="1637"/>
        <w:spacing w:before="97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采购灵活性和便利性。项目承担单位依法向财政部门申请变更政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府采购方式或调整政府采购预算的，财政部门实行限时办结制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度，对符合要求的申请项目，变更政府采购方式原则上自收到变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更申请之日起5个工作日内办结，调整政府采购预算原则上自收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到调整申请之日起15个工作日内办结。</w:t>
      </w:r>
    </w:p>
    <w:p>
      <w:pPr>
        <w:ind w:right="1615" w:firstLine="644"/>
        <w:spacing w:before="78" w:line="35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第十九条</w:t>
      </w:r>
      <w:r>
        <w:rPr>
          <w:rFonts w:ascii="SimHei" w:hAnsi="SimHei" w:eastAsia="SimHei" w:cs="SimHei"/>
          <w:sz w:val="30"/>
          <w:szCs w:val="30"/>
          <w:spacing w:val="1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科研院所、高等学校等事业单位承担项目所发生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的会议费、差旅费、小额材料费和测试化验加工费等支出，原则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上实行公务卡结算，企业原则上也应采用非现金方式结算。项目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承担单位对设备费、大宗材料费、测试化验加工费、劳</w:t>
      </w:r>
      <w:r>
        <w:rPr>
          <w:rFonts w:ascii="FangSong" w:hAnsi="FangSong" w:eastAsia="FangSong" w:cs="FangSong"/>
          <w:sz w:val="30"/>
          <w:szCs w:val="30"/>
          <w:spacing w:val="1"/>
        </w:rPr>
        <w:t>务费、专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家咨询费等支出，原则上通过银行转账方式结算。项目承担单位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要切实落实公务卡管理的自主权，允许项目临时聘用人员、研究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生等不具备公务卡申请条件的人员因执行任务产生的差旅费不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使用公务卡结算。</w:t>
      </w:r>
    </w:p>
    <w:p>
      <w:pPr>
        <w:ind w:right="1612" w:firstLine="644"/>
        <w:spacing w:before="96" w:line="35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第二十条</w:t>
      </w:r>
      <w:r>
        <w:rPr>
          <w:rFonts w:ascii="SimHei" w:hAnsi="SimHei" w:eastAsia="SimHei" w:cs="SimHei"/>
          <w:sz w:val="30"/>
          <w:szCs w:val="30"/>
          <w:spacing w:val="1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在项目实施过程中，项目承担单位因科研活动实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际需要，邀请国内外专家、学者和有关人员参</w:t>
      </w:r>
      <w:r>
        <w:rPr>
          <w:rFonts w:ascii="FangSong" w:hAnsi="FangSong" w:eastAsia="FangSong" w:cs="FangSong"/>
          <w:sz w:val="30"/>
          <w:szCs w:val="30"/>
          <w:spacing w:val="1"/>
        </w:rPr>
        <w:t>加由其主办的会议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等，对确需负担的城市间交通费、国际旅费，可在会议费等</w:t>
      </w:r>
      <w:r>
        <w:rPr>
          <w:rFonts w:ascii="FangSong" w:hAnsi="FangSong" w:eastAsia="FangSong" w:cs="FangSong"/>
          <w:sz w:val="30"/>
          <w:szCs w:val="30"/>
          <w:spacing w:val="2"/>
        </w:rPr>
        <w:t>费用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中报销。对国内差旅费中的伙食补助费、市</w:t>
      </w:r>
      <w:r>
        <w:rPr>
          <w:rFonts w:ascii="FangSong" w:hAnsi="FangSong" w:eastAsia="FangSong" w:cs="FangSong"/>
          <w:sz w:val="30"/>
          <w:szCs w:val="30"/>
          <w:spacing w:val="1"/>
        </w:rPr>
        <w:t>内交通费和难以取得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发票的住宿费可实行包干制。对野外考察、心理测试等科研活动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中无法取得发票或者财政性票据的，项目负责人在确保真实性的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前提下，可按实际发生额予以报销。</w:t>
      </w:r>
    </w:p>
    <w:p>
      <w:pPr>
        <w:ind w:right="1589" w:firstLine="644"/>
        <w:spacing w:before="77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第二十一条</w:t>
      </w:r>
      <w:r>
        <w:rPr>
          <w:rFonts w:ascii="SimHei" w:hAnsi="SimHei" w:eastAsia="SimHei" w:cs="SimHei"/>
          <w:sz w:val="30"/>
          <w:szCs w:val="30"/>
          <w:spacing w:val="10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项目实施过程中，行政事业单位使用专项资金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形成的固定资产属于国有资产，应当按照有关国有资产管理的规</w:t>
      </w:r>
    </w:p>
    <w:p>
      <w:pPr>
        <w:spacing w:line="356" w:lineRule="auto"/>
        <w:sectPr>
          <w:footerReference w:type="default" r:id="rId18"/>
          <w:pgSz w:w="11900" w:h="16860"/>
          <w:pgMar w:top="1433" w:right="150" w:bottom="1461" w:left="1640" w:header="0" w:footer="116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right="102"/>
        <w:spacing w:before="95" w:line="37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定执行。企业使用专项资金形成的固定资产，按照《企业</w:t>
      </w:r>
      <w:r>
        <w:rPr>
          <w:rFonts w:ascii="FangSong" w:hAnsi="FangSong" w:eastAsia="FangSong" w:cs="FangSong"/>
          <w:sz w:val="29"/>
          <w:szCs w:val="29"/>
          <w:spacing w:val="12"/>
        </w:rPr>
        <w:t>财务通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则》等相关规章制度执行。</w:t>
      </w:r>
    </w:p>
    <w:p>
      <w:pPr>
        <w:ind w:right="96" w:firstLine="610"/>
        <w:spacing w:before="18" w:line="373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项目承担单位使用专项资金形成的知识产权等无形资产的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管理，按照有关规定执行。使用专项资金形成的大型</w:t>
      </w:r>
      <w:r>
        <w:rPr>
          <w:rFonts w:ascii="FangSong" w:hAnsi="FangSong" w:eastAsia="FangSong" w:cs="FangSong"/>
          <w:sz w:val="29"/>
          <w:szCs w:val="29"/>
          <w:spacing w:val="12"/>
        </w:rPr>
        <w:t>科学仪器设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备、科学数据、自然科技资源等，按照规定开放共享。</w:t>
      </w:r>
    </w:p>
    <w:p>
      <w:pPr>
        <w:ind w:firstLine="610"/>
        <w:spacing w:before="21" w:line="37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4"/>
        </w:rPr>
        <w:t>第二十二条</w:t>
      </w:r>
      <w:r>
        <w:rPr>
          <w:rFonts w:ascii="SimHei" w:hAnsi="SimHei" w:eastAsia="SimHei" w:cs="SimHei"/>
          <w:sz w:val="29"/>
          <w:szCs w:val="29"/>
          <w:spacing w:val="1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项目因故撤销或终止，项目承担单位应当按要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求及时清理账目与资产，编制财务报告及资产清单，由省科技厅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组织清查处理，剩余资金按原渠道退回省级财政国库。已购物资、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材料及仪器设备处置收入，按照国家和省级有关规定执行。</w:t>
      </w:r>
    </w:p>
    <w:p>
      <w:pPr>
        <w:ind w:right="103" w:firstLine="610"/>
        <w:spacing w:before="29" w:line="372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4"/>
        </w:rPr>
        <w:t>第二十三条</w:t>
      </w:r>
      <w:r>
        <w:rPr>
          <w:rFonts w:ascii="SimHei" w:hAnsi="SimHei" w:eastAsia="SimHei" w:cs="SimHei"/>
          <w:sz w:val="29"/>
          <w:szCs w:val="29"/>
          <w:spacing w:val="1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专项资金实行预算扣减机制、项目支出督办机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制、定期评估与退出机制，具体有关规定参照《陕西省</w:t>
      </w:r>
      <w:r>
        <w:rPr>
          <w:rFonts w:ascii="FangSong" w:hAnsi="FangSong" w:eastAsia="FangSong" w:cs="FangSong"/>
          <w:sz w:val="29"/>
          <w:szCs w:val="29"/>
          <w:spacing w:val="12"/>
        </w:rPr>
        <w:t>省级财政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专项资金管理办法》执行。</w:t>
      </w:r>
    </w:p>
    <w:p>
      <w:pPr>
        <w:ind w:left="2264"/>
        <w:spacing w:before="46" w:line="221" w:lineRule="auto"/>
        <w:outlineLvl w:val="6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38"/>
        </w:rPr>
        <w:t>第四章绩效管理与监督检查</w:t>
      </w:r>
    </w:p>
    <w:p>
      <w:pPr>
        <w:ind w:right="103" w:firstLine="610"/>
        <w:spacing w:before="254" w:line="374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4"/>
        </w:rPr>
        <w:t>第二十四条</w:t>
      </w:r>
      <w:r>
        <w:rPr>
          <w:rFonts w:ascii="SimHei" w:hAnsi="SimHei" w:eastAsia="SimHei" w:cs="SimHei"/>
          <w:sz w:val="29"/>
          <w:szCs w:val="29"/>
          <w:spacing w:val="12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专项资金实施全过程预算绩效管理，包括事前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绩效评估、绩效目标管理、绩效运行监控、绩效评价和</w:t>
      </w:r>
      <w:r>
        <w:rPr>
          <w:rFonts w:ascii="FangSong" w:hAnsi="FangSong" w:eastAsia="FangSong" w:cs="FangSong"/>
          <w:sz w:val="29"/>
          <w:szCs w:val="29"/>
          <w:spacing w:val="12"/>
        </w:rPr>
        <w:t>评价结果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应用等。</w:t>
      </w:r>
    </w:p>
    <w:p>
      <w:pPr>
        <w:ind w:right="50" w:firstLine="610"/>
        <w:spacing w:before="34" w:line="370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4"/>
        </w:rPr>
        <w:t>第二十五条</w:t>
      </w:r>
      <w:r>
        <w:rPr>
          <w:rFonts w:ascii="SimHei" w:hAnsi="SimHei" w:eastAsia="SimHei" w:cs="SimHei"/>
          <w:sz w:val="29"/>
          <w:szCs w:val="29"/>
          <w:spacing w:val="13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省科技厅是专项资金绩效管理的主体，按照有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关规定开展事前绩效评估，提高政策制定、项目</w:t>
      </w:r>
      <w:r>
        <w:rPr>
          <w:rFonts w:ascii="FangSong" w:hAnsi="FangSong" w:eastAsia="FangSong" w:cs="FangSong"/>
          <w:sz w:val="29"/>
          <w:szCs w:val="29"/>
          <w:spacing w:val="14"/>
        </w:rPr>
        <w:t>立项的科学性。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项目承担单位应科学合理设定项目绩效目标，包括成本指标、产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出指标、效益指标、满意度指标。省科技厅汇总形成专项资金整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体绩效目标和分区域绩效目标表，随预算同步编报。省</w:t>
      </w:r>
      <w:r>
        <w:rPr>
          <w:rFonts w:ascii="FangSong" w:hAnsi="FangSong" w:eastAsia="FangSong" w:cs="FangSong"/>
          <w:sz w:val="29"/>
          <w:szCs w:val="29"/>
          <w:spacing w:val="12"/>
        </w:rPr>
        <w:t>财政厅随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预算同步审核、同步批复下达绩效目标。</w:t>
      </w:r>
    </w:p>
    <w:p>
      <w:pPr>
        <w:spacing w:line="370" w:lineRule="auto"/>
        <w:sectPr>
          <w:footerReference w:type="default" r:id="rId19"/>
          <w:pgSz w:w="11920" w:h="16900"/>
          <w:pgMar w:top="1436" w:right="1574" w:bottom="1526" w:left="1759" w:header="0" w:footer="1237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right="1641" w:firstLine="604"/>
        <w:spacing w:before="97" w:line="35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第二十六条</w:t>
      </w:r>
      <w:r>
        <w:rPr>
          <w:rFonts w:ascii="SimHei" w:hAnsi="SimHei" w:eastAsia="SimHei" w:cs="SimHei"/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省科技厅及项目承担单位要对专项资金预算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绩效目标实现程度和预算执行进度进行“双监控”,及时将本部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门绩效监控报告报送省财政厅，并对绩效监</w:t>
      </w:r>
      <w:r>
        <w:rPr>
          <w:rFonts w:ascii="FangSong" w:hAnsi="FangSong" w:eastAsia="FangSong" w:cs="FangSong"/>
          <w:sz w:val="30"/>
          <w:szCs w:val="30"/>
          <w:spacing w:val="1"/>
        </w:rPr>
        <w:t>控中发现的绩效目标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执行偏差和管理漏洞，及时采取分类处置措施予以纠正。</w:t>
      </w:r>
    </w:p>
    <w:p>
      <w:pPr>
        <w:ind w:right="1615" w:firstLine="604"/>
        <w:spacing w:before="60" w:line="35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6305521</wp:posOffset>
            </wp:positionH>
            <wp:positionV relativeFrom="paragraph">
              <wp:posOffset>562251</wp:posOffset>
            </wp:positionV>
            <wp:extent cx="88864" cy="88965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864" cy="8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第二十七条</w:t>
      </w:r>
      <w:r>
        <w:rPr>
          <w:rFonts w:ascii="SimHei" w:hAnsi="SimHei" w:eastAsia="SimHei" w:cs="SimHei"/>
          <w:sz w:val="30"/>
          <w:szCs w:val="30"/>
          <w:spacing w:val="1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前补助项目在实施期末，由省科技厅依据项目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任务书(含预算),进行一次性综合绩效评价。对达到一定资助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规模的省科技发展计划项目，项目承担单位</w:t>
      </w:r>
      <w:r>
        <w:rPr>
          <w:rFonts w:ascii="FangSong" w:hAnsi="FangSong" w:eastAsia="FangSong" w:cs="FangSong"/>
          <w:sz w:val="30"/>
          <w:szCs w:val="30"/>
          <w:spacing w:val="1"/>
        </w:rPr>
        <w:t>应当聘请会计师事务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所，开展结题财务审计。结题财务审计报告是项目综合绩效评价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的重要依据。对创新能力和潜力突出、创新绩</w:t>
      </w:r>
      <w:r>
        <w:rPr>
          <w:rFonts w:ascii="FangSong" w:hAnsi="FangSong" w:eastAsia="FangSong" w:cs="FangSong"/>
          <w:sz w:val="30"/>
          <w:szCs w:val="30"/>
          <w:spacing w:val="1"/>
        </w:rPr>
        <w:t>效显著、科研诚信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状况良好的项目承担单位，在按程序认定后，可不再开展</w:t>
      </w:r>
      <w:r>
        <w:rPr>
          <w:rFonts w:ascii="FangSong" w:hAnsi="FangSong" w:eastAsia="FangSong" w:cs="FangSong"/>
          <w:sz w:val="30"/>
          <w:szCs w:val="30"/>
          <w:spacing w:val="1"/>
        </w:rPr>
        <w:t>结题财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务审计，其出具的项目资金决算报表，作为项目综合绩效评价的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依据。项目承担单位对决算报表内容的真实性、完整性、准确性</w:t>
      </w:r>
    </w:p>
    <w:p>
      <w:pPr>
        <w:spacing w:before="123"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-13"/>
        </w:rPr>
        <w:t>负</w:t>
      </w:r>
      <w:r>
        <w:rPr>
          <w:rFonts w:ascii="FangSong" w:hAnsi="FangSong" w:eastAsia="FangSong" w:cs="FangSong"/>
          <w:sz w:val="23"/>
          <w:szCs w:val="23"/>
          <w:spacing w:val="-1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3"/>
        </w:rPr>
        <w:t>责</w:t>
      </w:r>
      <w:r>
        <w:rPr>
          <w:rFonts w:ascii="FangSong" w:hAnsi="FangSong" w:eastAsia="FangSong" w:cs="FangSong"/>
          <w:sz w:val="23"/>
          <w:szCs w:val="23"/>
          <w:spacing w:val="-3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3"/>
        </w:rPr>
        <w:t>。</w:t>
      </w:r>
    </w:p>
    <w:p>
      <w:pPr>
        <w:ind w:right="1621" w:firstLine="604"/>
        <w:spacing w:before="306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6299173</wp:posOffset>
            </wp:positionH>
            <wp:positionV relativeFrom="paragraph">
              <wp:posOffset>1631894</wp:posOffset>
            </wp:positionV>
            <wp:extent cx="107907" cy="76210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07" cy="7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第二十八条</w:t>
      </w:r>
      <w:r>
        <w:rPr>
          <w:rFonts w:ascii="SimHei" w:hAnsi="SimHei" w:eastAsia="SimHei" w:cs="SimHei"/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项目承担单位完成项目综合绩效评价材料的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准备工作后，向省科技厅提出申请，省科技厅按照有</w:t>
      </w:r>
      <w:r>
        <w:rPr>
          <w:rFonts w:ascii="FangSong" w:hAnsi="FangSong" w:eastAsia="FangSong" w:cs="FangSong"/>
          <w:sz w:val="30"/>
          <w:szCs w:val="30"/>
          <w:spacing w:val="1"/>
        </w:rPr>
        <w:t>关规定组织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项目综合绩效评价，核定省级财政资金结余</w:t>
      </w:r>
      <w:r>
        <w:rPr>
          <w:rFonts w:ascii="FangSong" w:hAnsi="FangSong" w:eastAsia="FangSong" w:cs="FangSong"/>
          <w:sz w:val="30"/>
          <w:szCs w:val="30"/>
          <w:spacing w:val="1"/>
        </w:rPr>
        <w:t>，形成项目综合绩效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评价结论。其中，资金使用出现严重违法违规问题的，给予取消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项目评优资格、收回项目资金、项目综合绩效评价不通过等处理</w:t>
      </w:r>
    </w:p>
    <w:p>
      <w:pPr>
        <w:spacing w:before="118"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-14"/>
        </w:rPr>
        <w:t>意</w:t>
      </w:r>
      <w:r>
        <w:rPr>
          <w:rFonts w:ascii="FangSong" w:hAnsi="FangSong" w:eastAsia="FangSong" w:cs="FangSong"/>
          <w:sz w:val="23"/>
          <w:szCs w:val="23"/>
          <w:spacing w:val="-1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4"/>
        </w:rPr>
        <w:t>见</w:t>
      </w:r>
      <w:r>
        <w:rPr>
          <w:rFonts w:ascii="FangSong" w:hAnsi="FangSong" w:eastAsia="FangSong" w:cs="FangSong"/>
          <w:sz w:val="23"/>
          <w:szCs w:val="23"/>
          <w:spacing w:val="-30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4"/>
        </w:rPr>
        <w:t>。</w:t>
      </w:r>
    </w:p>
    <w:p>
      <w:pPr>
        <w:ind w:right="1669" w:firstLine="604"/>
        <w:spacing w:before="244" w:line="36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第二十九条</w:t>
      </w:r>
      <w:r>
        <w:rPr>
          <w:rFonts w:ascii="SimHei" w:hAnsi="SimHei" w:eastAsia="SimHei" w:cs="SimHei"/>
          <w:sz w:val="30"/>
          <w:szCs w:val="30"/>
          <w:spacing w:val="6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项目承担单位应当在项目综合绩效评价完成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后一个月内及时办理财务结账手续。</w:t>
      </w:r>
    </w:p>
    <w:p>
      <w:pPr>
        <w:ind w:left="599"/>
        <w:spacing w:before="40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项目完成任务目标并通过综合绩效评价的，结余资金留归项</w:t>
      </w:r>
    </w:p>
    <w:p>
      <w:pPr>
        <w:spacing w:line="220" w:lineRule="auto"/>
        <w:sectPr>
          <w:footerReference w:type="default" r:id="rId20"/>
          <w:pgSz w:w="11900" w:h="16880"/>
          <w:pgMar w:top="1434" w:right="150" w:bottom="1461" w:left="1660" w:header="0" w:footer="116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600" w:right="61"/>
        <w:spacing w:before="97" w:line="36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目承担单位使用，统筹用于科研活动直接支出。项目承</w:t>
      </w:r>
      <w:r>
        <w:rPr>
          <w:rFonts w:ascii="FangSong" w:hAnsi="FangSong" w:eastAsia="FangSong" w:cs="FangSong"/>
          <w:sz w:val="30"/>
          <w:szCs w:val="30"/>
          <w:spacing w:val="2"/>
        </w:rPr>
        <w:t>担单位应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优先考虑原项目团队科研需求，加强结余资金管理，健全结余资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金盘活机制，加快资金使用进度。</w:t>
      </w:r>
    </w:p>
    <w:p>
      <w:pPr>
        <w:ind w:left="1600" w:right="45" w:firstLine="609"/>
        <w:spacing w:before="40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项目未完成任务目标，或项目未通过综合绩效评价的，结余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资金由项目承担单位按原渠道退回省级财政国库。</w:t>
      </w:r>
    </w:p>
    <w:p>
      <w:pPr>
        <w:ind w:left="1600" w:right="13" w:firstLine="609"/>
        <w:spacing w:before="24" w:line="359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202788</wp:posOffset>
            </wp:positionV>
            <wp:extent cx="95296" cy="88963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96" cy="88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0"/>
          <w:szCs w:val="30"/>
          <w:spacing w:val="6"/>
        </w:rPr>
        <w:t>第三十条</w:t>
      </w:r>
      <w:r>
        <w:rPr>
          <w:rFonts w:ascii="SimHei" w:hAnsi="SimHei" w:eastAsia="SimHei" w:cs="SimHei"/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省科技厅在年度预算执行结束后，对预算批复的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绩效目标完成情况进行自评，根据工作需要形成专项资金整体绩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效报告报送省财政厅。省科技厅应根据工作需要开展部门评价，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优先选择部门履职的重大改革发展项目，随机选择一般性项目，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原则上应以5年为周期，实现部门评价重点项目全覆盖。省财政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厅对部门绩效自评情况进行审核，根据实际情况适时开展财政重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点绩效评价。</w:t>
      </w:r>
    </w:p>
    <w:p>
      <w:pPr>
        <w:ind w:left="1600" w:right="41" w:firstLine="609"/>
        <w:spacing w:before="72" w:line="36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5"/>
        </w:rPr>
        <w:t>第三十一条</w:t>
      </w:r>
      <w:r>
        <w:rPr>
          <w:rFonts w:ascii="SimHei" w:hAnsi="SimHei" w:eastAsia="SimHei" w:cs="SimHei"/>
          <w:sz w:val="30"/>
          <w:szCs w:val="30"/>
          <w:spacing w:val="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建立健全绩效结果应用机制，将绩效评价结果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作为分配资金、完善政策、改进管理的重要依据，对绩效评价效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果突出的专项资金项目类别应加大支持力度，持续予以支持；评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价结果较差的专项资金项目类别应采取缩减支持规模、取消项目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类别等方式提高资金使用效益。</w:t>
      </w:r>
    </w:p>
    <w:p>
      <w:pPr>
        <w:ind w:left="1600" w:right="72" w:firstLine="609"/>
        <w:spacing w:before="34" w:line="35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4"/>
        </w:rPr>
        <w:t>第三十二条</w:t>
      </w:r>
      <w:r>
        <w:rPr>
          <w:rFonts w:ascii="SimHei" w:hAnsi="SimHei" w:eastAsia="SimHei" w:cs="SimHei"/>
          <w:sz w:val="30"/>
          <w:szCs w:val="30"/>
          <w:spacing w:val="1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省科技厅按照政府信息公开有关规定，主动公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开相关专项资金信息，包括资金和项目管理办法、绩效目标及评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价结果等。</w:t>
      </w:r>
    </w:p>
    <w:p>
      <w:pPr>
        <w:ind w:left="1600" w:right="66" w:firstLine="609"/>
        <w:spacing w:before="55" w:line="36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4"/>
        </w:rPr>
        <w:t>第三十三条</w:t>
      </w:r>
      <w:r>
        <w:rPr>
          <w:rFonts w:ascii="SimHei" w:hAnsi="SimHei" w:eastAsia="SimHei" w:cs="SimHei"/>
          <w:sz w:val="30"/>
          <w:szCs w:val="30"/>
          <w:spacing w:val="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省科技厅、省财政厅、项目承担单位根据职责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和分工，建立覆盖资金管理使用全过程的资金</w:t>
      </w:r>
      <w:r>
        <w:rPr>
          <w:rFonts w:ascii="FangSong" w:hAnsi="FangSong" w:eastAsia="FangSong" w:cs="FangSong"/>
          <w:sz w:val="30"/>
          <w:szCs w:val="30"/>
          <w:spacing w:val="2"/>
        </w:rPr>
        <w:t>监督机制。加强审</w:t>
      </w:r>
    </w:p>
    <w:p>
      <w:pPr>
        <w:spacing w:line="361" w:lineRule="auto"/>
        <w:sectPr>
          <w:footerReference w:type="default" r:id="rId23"/>
          <w:pgSz w:w="11920" w:h="16900"/>
          <w:pgMar w:top="1436" w:right="1586" w:bottom="1543" w:left="169" w:header="0" w:footer="124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right="1615"/>
        <w:spacing w:before="97" w:line="35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计监督、财会监督与日常监督的贯通协调，增强监督合力，加强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信息共享，避免交叉重复。</w:t>
      </w:r>
    </w:p>
    <w:p>
      <w:pPr>
        <w:ind w:right="1598" w:firstLine="629"/>
        <w:spacing w:before="36" w:line="35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703296" behindDoc="0" locked="0" layoutInCell="1" allowOverlap="1">
            <wp:simplePos x="0" y="0"/>
            <wp:positionH relativeFrom="column">
              <wp:posOffset>6305521</wp:posOffset>
            </wp:positionH>
            <wp:positionV relativeFrom="paragraph">
              <wp:posOffset>1295546</wp:posOffset>
            </wp:positionV>
            <wp:extent cx="101558" cy="101627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58" cy="10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2"/>
        </w:rPr>
        <w:t>省科技厅创新监督检查方式，实行随机抽查、检查，充分利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用大数据等信息技术手段，对项目资金拨付的及时性，项目资金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管理使用规范性、安全性和有效性等进行抽查，提高监督检查效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率。省财政厅根据工作需要，开展重点抽查、检查。对实施周期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三年以下的项目，以项目承担单位自我管理为主</w:t>
      </w:r>
      <w:r>
        <w:rPr>
          <w:rFonts w:ascii="FangSong" w:hAnsi="FangSong" w:eastAsia="FangSong" w:cs="FangSong"/>
          <w:sz w:val="30"/>
          <w:szCs w:val="30"/>
          <w:spacing w:val="-1"/>
        </w:rPr>
        <w:t>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一般不开展过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程监督。</w:t>
      </w:r>
    </w:p>
    <w:p>
      <w:pPr>
        <w:ind w:right="1598" w:firstLine="629"/>
        <w:spacing w:before="58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7"/>
        </w:rPr>
        <w:t>第三十四条</w:t>
      </w:r>
      <w:r>
        <w:rPr>
          <w:rFonts w:ascii="SimHei" w:hAnsi="SimHei" w:eastAsia="SimHei" w:cs="SimHei"/>
          <w:sz w:val="30"/>
          <w:szCs w:val="30"/>
          <w:spacing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项目承担单位要按照本办法和国家相关财经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法规及财务管理规定，完善监督制约机制，动态监管资金使用并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实时预警提醒，加强支撑服务条件建设，提</w:t>
      </w:r>
      <w:r>
        <w:rPr>
          <w:rFonts w:ascii="FangSong" w:hAnsi="FangSong" w:eastAsia="FangSong" w:cs="FangSong"/>
          <w:sz w:val="30"/>
          <w:szCs w:val="30"/>
          <w:spacing w:val="1"/>
        </w:rPr>
        <w:t>高对科研人员的服务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水平，建立常态化的自查自纠机制，确保项目资金安全。项目承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担单位要积极配合省科技厅、省财政厅开展监督检查和整改工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作。</w:t>
      </w:r>
    </w:p>
    <w:p>
      <w:pPr>
        <w:ind w:left="634"/>
        <w:spacing w:before="52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3"/>
        </w:rPr>
        <w:t>第三十五条</w:t>
      </w:r>
      <w:r>
        <w:rPr>
          <w:rFonts w:ascii="SimHei" w:hAnsi="SimHei" w:eastAsia="SimHei" w:cs="SimHei"/>
          <w:sz w:val="33"/>
          <w:szCs w:val="33"/>
          <w:spacing w:val="9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包干制项目资金管理实行项目负责人承诺制</w:t>
      </w:r>
    </w:p>
    <w:p>
      <w:pPr>
        <w:ind w:right="1560"/>
        <w:spacing w:before="254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6318216</wp:posOffset>
            </wp:positionH>
            <wp:positionV relativeFrom="paragraph">
              <wp:posOffset>835928</wp:posOffset>
            </wp:positionV>
            <wp:extent cx="88864" cy="95295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864" cy="9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4"/>
        </w:rPr>
        <w:t>和签字报销制。项目承担单位应依法履行项目资金管理的职责。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项目负责人应当承诺提供真实的项目信息，并认真遵守项目资金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管理的有关规定，根据科研活动需要列支相关费用</w:t>
      </w:r>
      <w:r>
        <w:rPr>
          <w:rFonts w:ascii="FangSong" w:hAnsi="FangSong" w:eastAsia="FangSong" w:cs="FangSong"/>
          <w:sz w:val="30"/>
          <w:szCs w:val="30"/>
          <w:spacing w:val="1"/>
        </w:rPr>
        <w:t>。项目承担单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位和项目负责人对违反承诺导致的后果承担相应责任。</w:t>
      </w:r>
    </w:p>
    <w:p>
      <w:pPr>
        <w:ind w:right="1619" w:firstLine="634"/>
        <w:spacing w:before="31" w:line="36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第三十六条</w:t>
      </w:r>
      <w:r>
        <w:rPr>
          <w:rFonts w:ascii="SimHei" w:hAnsi="SimHei" w:eastAsia="SimHei" w:cs="SimHei"/>
          <w:sz w:val="30"/>
          <w:szCs w:val="30"/>
          <w:spacing w:val="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对项目承担单位和科研人员在科研经费管理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使用过程中出现的失信情况，纳入信用记录管理，对严重失信行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为实行追责和惩戒。建立健全负面清单管理机制，明确科研项目</w:t>
      </w:r>
    </w:p>
    <w:p>
      <w:pPr>
        <w:spacing w:line="366" w:lineRule="auto"/>
        <w:sectPr>
          <w:footerReference w:type="default" r:id="rId25"/>
          <w:pgSz w:w="11900" w:h="16900"/>
          <w:pgMar w:top="1436" w:right="170" w:bottom="1481" w:left="1640" w:header="0" w:footer="118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467" w:lineRule="auto"/>
        <w:rPr/>
      </w:pPr>
      <w:r/>
    </w:p>
    <w:p>
      <w:pPr>
        <w:ind w:left="1580" w:right="128"/>
        <w:spacing w:before="98" w:line="36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经费使用禁止性行为，有关部门要根据法律法规和负面</w:t>
      </w:r>
      <w:r>
        <w:rPr>
          <w:rFonts w:ascii="FangSong" w:hAnsi="FangSong" w:eastAsia="FangSong" w:cs="FangSong"/>
          <w:sz w:val="30"/>
          <w:szCs w:val="30"/>
          <w:spacing w:val="2"/>
        </w:rPr>
        <w:t>清单进行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检查、评审、验收、审计，对尽职无过错的项目承担</w:t>
      </w:r>
      <w:r>
        <w:rPr>
          <w:rFonts w:ascii="FangSong" w:hAnsi="FangSong" w:eastAsia="FangSong" w:cs="FangSong"/>
          <w:sz w:val="30"/>
          <w:szCs w:val="30"/>
          <w:spacing w:val="2"/>
        </w:rPr>
        <w:t>单位和科研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人员免予问责。</w:t>
      </w:r>
    </w:p>
    <w:p>
      <w:pPr>
        <w:ind w:left="2194"/>
        <w:spacing w:before="32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第三十七条</w:t>
      </w:r>
      <w:r>
        <w:rPr>
          <w:rFonts w:ascii="SimHei" w:hAnsi="SimHei" w:eastAsia="SimHei" w:cs="SimHei"/>
          <w:sz w:val="30"/>
          <w:szCs w:val="30"/>
          <w:spacing w:val="1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专项资金管理使用不得存在以下行为：</w:t>
      </w:r>
    </w:p>
    <w:p>
      <w:pPr>
        <w:ind w:left="2320"/>
        <w:spacing w:before="234" w:line="220" w:lineRule="auto"/>
        <w:rPr>
          <w:rFonts w:ascii="FangSong" w:hAnsi="FangSong" w:eastAsia="FangSong" w:cs="FangSong"/>
          <w:sz w:val="30"/>
          <w:szCs w:val="3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-229831</wp:posOffset>
                </wp:positionH>
                <wp:positionV relativeFrom="paragraph">
                  <wp:posOffset>455681</wp:posOffset>
                </wp:positionV>
                <wp:extent cx="530225" cy="157479"/>
                <wp:effectExtent l="0" t="0" r="0" b="0"/>
                <wp:wrapNone/>
                <wp:docPr id="24" name="TextBox 24"/>
                <wp:cNvGraphicFramePr/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 rot="16200000">
                          <a:off x="-229831" y="455681"/>
                          <a:ext cx="530225" cy="1574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8" w:line="200" w:lineRule="auto"/>
                              <w:jc w:val="right"/>
                              <w:rPr>
                                <w:rFonts w:ascii="STXingkai" w:hAnsi="STXingkai" w:eastAsia="STXingkai" w:cs="STXingka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TXingkai" w:hAnsi="STXingkai" w:eastAsia="STXingkai" w:cs="STXingkai"/>
                                <w:sz w:val="14"/>
                                <w:szCs w:val="14"/>
                                <w:spacing w:val="-14"/>
                              </w:rPr>
                              <w:t>足</w:t>
                            </w:r>
                            <w:r>
                              <w:rPr>
                                <w:rFonts w:ascii="STXingkai" w:hAnsi="STXingkai" w:eastAsia="STXingkai" w:cs="STXingkai"/>
                                <w:sz w:val="14"/>
                                <w:szCs w:val="14"/>
                                <w:spacing w:val="6"/>
                              </w:rPr>
                              <w:t xml:space="preserve">    </w:t>
                            </w:r>
                            <w:r>
                              <w:rPr>
                                <w:rFonts w:ascii="STXingkai" w:hAnsi="STXingkai" w:eastAsia="STXingkai" w:cs="STXingkai"/>
                                <w:sz w:val="14"/>
                                <w:szCs w:val="14"/>
                                <w:spacing w:val="-14"/>
                              </w:rPr>
                              <w:t>·</w:t>
                            </w:r>
                            <w:r>
                              <w:rPr>
                                <w:rFonts w:ascii="STXingkai" w:hAnsi="STXingkai" w:eastAsia="STXingkai" w:cs="STXingkai"/>
                                <w:sz w:val="14"/>
                                <w:szCs w:val="14"/>
                                <w:spacing w:val="3"/>
                              </w:rPr>
                              <w:t xml:space="preserve">   </w:t>
                            </w:r>
                            <w:r>
                              <w:rPr>
                                <w:rFonts w:ascii="STXingkai" w:hAnsi="STXingkai" w:eastAsia="STXingkai" w:cs="STXingkai"/>
                                <w:sz w:val="14"/>
                                <w:szCs w:val="14"/>
                                <w:spacing w:val="-14"/>
                              </w:rPr>
                              <w:t>+    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-18.097pt;margin-top:35.8804pt;mso-position-vertical-relative:text;mso-position-horizontal-relative:text;width:41.75pt;height:12.4pt;z-index:25170636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68" w:line="200" w:lineRule="auto"/>
                        <w:jc w:val="right"/>
                        <w:rPr>
                          <w:rFonts w:ascii="STXingkai" w:hAnsi="STXingkai" w:eastAsia="STXingkai" w:cs="STXingkai"/>
                          <w:sz w:val="14"/>
                          <w:szCs w:val="14"/>
                        </w:rPr>
                      </w:pPr>
                      <w:r>
                        <w:rPr>
                          <w:rFonts w:ascii="STXingkai" w:hAnsi="STXingkai" w:eastAsia="STXingkai" w:cs="STXingkai"/>
                          <w:sz w:val="14"/>
                          <w:szCs w:val="14"/>
                          <w:spacing w:val="-14"/>
                        </w:rPr>
                        <w:t>足</w:t>
                      </w:r>
                      <w:r>
                        <w:rPr>
                          <w:rFonts w:ascii="STXingkai" w:hAnsi="STXingkai" w:eastAsia="STXingkai" w:cs="STXingkai"/>
                          <w:sz w:val="14"/>
                          <w:szCs w:val="14"/>
                          <w:spacing w:val="6"/>
                        </w:rPr>
                        <w:t xml:space="preserve">    </w:t>
                      </w:r>
                      <w:r>
                        <w:rPr>
                          <w:rFonts w:ascii="STXingkai" w:hAnsi="STXingkai" w:eastAsia="STXingkai" w:cs="STXingkai"/>
                          <w:sz w:val="14"/>
                          <w:szCs w:val="14"/>
                          <w:spacing w:val="-14"/>
                        </w:rPr>
                        <w:t>·</w:t>
                      </w:r>
                      <w:r>
                        <w:rPr>
                          <w:rFonts w:ascii="STXingkai" w:hAnsi="STXingkai" w:eastAsia="STXingkai" w:cs="STXingkai"/>
                          <w:sz w:val="14"/>
                          <w:szCs w:val="14"/>
                          <w:spacing w:val="3"/>
                        </w:rPr>
                        <w:t xml:space="preserve">   </w:t>
                      </w:r>
                      <w:r>
                        <w:rPr>
                          <w:rFonts w:ascii="STXingkai" w:hAnsi="STXingkai" w:eastAsia="STXingkai" w:cs="STXingkai"/>
                          <w:sz w:val="14"/>
                          <w:szCs w:val="14"/>
                          <w:spacing w:val="-14"/>
                        </w:rPr>
                        <w:t>+    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ngSong" w:hAnsi="FangSong" w:eastAsia="FangSong" w:cs="FangSong"/>
          <w:sz w:val="30"/>
          <w:szCs w:val="30"/>
          <w:spacing w:val="16"/>
        </w:rPr>
        <w:t>(一)编报虚假预算；</w:t>
      </w:r>
    </w:p>
    <w:p>
      <w:pPr>
        <w:ind w:left="2320"/>
        <w:spacing w:before="223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(二)未对项目资金进行单独核算；</w:t>
      </w:r>
    </w:p>
    <w:p>
      <w:pPr>
        <w:ind w:left="2320"/>
        <w:spacing w:before="263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(三)列支与本项目任务无关的支出；</w:t>
      </w:r>
    </w:p>
    <w:p>
      <w:pPr>
        <w:ind w:left="2320"/>
        <w:spacing w:before="202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(四)未按规定执行和调剂预算、违反规定转拨项目资金；</w:t>
      </w:r>
    </w:p>
    <w:p>
      <w:pPr>
        <w:ind w:left="2320"/>
        <w:spacing w:before="25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(五)虚假承诺其他来源资金；</w:t>
      </w:r>
    </w:p>
    <w:p>
      <w:pPr>
        <w:ind w:left="1580" w:right="130" w:firstLine="739"/>
        <w:spacing w:before="223" w:line="29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(六)通过虚假合同、虚假票据、虚构事项、虚报人员等弄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虚作假，转移、套取、报销项目资金；</w:t>
      </w:r>
    </w:p>
    <w:p>
      <w:pPr>
        <w:ind w:left="2324"/>
        <w:spacing w:before="243" w:line="220" w:lineRule="auto"/>
        <w:outlineLvl w:val="6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8"/>
        </w:rPr>
        <w:t>(七)截留、挤占、挪用项目资金；</w:t>
      </w:r>
    </w:p>
    <w:p>
      <w:pPr>
        <w:ind w:left="1580" w:firstLine="739"/>
        <w:spacing w:before="230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(八)设置账外账、随意调账变动支出、随意修改记账凭证、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提供虚假财务会计资料等；</w:t>
      </w:r>
    </w:p>
    <w:p>
      <w:pPr>
        <w:ind w:left="1580" w:right="130" w:firstLine="739"/>
        <w:spacing w:before="217" w:line="29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(九)使用项目资金列支应当由个人负担的有关费用和支付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各种罚款、捐款、赞助、投资、偿还债务等；</w:t>
      </w:r>
    </w:p>
    <w:p>
      <w:pPr>
        <w:ind w:left="2320"/>
        <w:spacing w:before="240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(十)其他违反国家财经纪律的行为。</w:t>
      </w:r>
    </w:p>
    <w:p>
      <w:pPr>
        <w:ind w:left="1580" w:right="97" w:firstLine="614"/>
        <w:spacing w:before="229" w:line="35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第三十八条</w:t>
      </w:r>
      <w:r>
        <w:rPr>
          <w:rFonts w:ascii="SimHei" w:hAnsi="SimHei" w:eastAsia="SimHei" w:cs="SimHei"/>
          <w:sz w:val="30"/>
          <w:szCs w:val="30"/>
          <w:spacing w:val="10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对违反本办法规定使用和管理项目资金的，将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按照《中华人民共和国预算法》《财政违法行为处罚处分条例》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等规定追究相应责任。涉嫌犯罪的，依法移送有</w:t>
      </w:r>
      <w:r>
        <w:rPr>
          <w:rFonts w:ascii="FangSong" w:hAnsi="FangSong" w:eastAsia="FangSong" w:cs="FangSong"/>
          <w:sz w:val="30"/>
          <w:szCs w:val="30"/>
          <w:spacing w:val="4"/>
        </w:rPr>
        <w:t>关机关处理。</w:t>
      </w:r>
    </w:p>
    <w:p>
      <w:pPr>
        <w:ind w:left="4774"/>
        <w:spacing w:before="41" w:line="222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8"/>
        </w:rPr>
        <w:t>第</w:t>
      </w:r>
      <w:r>
        <w:rPr>
          <w:rFonts w:ascii="SimHei" w:hAnsi="SimHei" w:eastAsia="SimHei" w:cs="SimHei"/>
          <w:sz w:val="30"/>
          <w:szCs w:val="30"/>
          <w:spacing w:val="3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8"/>
        </w:rPr>
        <w:t>五</w:t>
      </w:r>
      <w:r>
        <w:rPr>
          <w:rFonts w:ascii="SimHei" w:hAnsi="SimHei" w:eastAsia="SimHei" w:cs="SimHei"/>
          <w:sz w:val="30"/>
          <w:szCs w:val="30"/>
          <w:spacing w:val="2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8"/>
        </w:rPr>
        <w:t>章</w:t>
      </w:r>
      <w:r>
        <w:rPr>
          <w:rFonts w:ascii="SimHei" w:hAnsi="SimHei" w:eastAsia="SimHei" w:cs="SimHei"/>
          <w:sz w:val="30"/>
          <w:szCs w:val="30"/>
          <w:spacing w:val="4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8"/>
        </w:rPr>
        <w:t>附</w:t>
      </w:r>
      <w:r>
        <w:rPr>
          <w:rFonts w:ascii="SimHei" w:hAnsi="SimHei" w:eastAsia="SimHei" w:cs="SimHei"/>
          <w:sz w:val="30"/>
          <w:szCs w:val="30"/>
          <w:spacing w:val="2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8"/>
        </w:rPr>
        <w:t>则</w:t>
      </w:r>
    </w:p>
    <w:p>
      <w:pPr>
        <w:ind w:left="2194"/>
        <w:spacing w:before="250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第三十九条</w:t>
      </w:r>
      <w:r>
        <w:rPr>
          <w:rFonts w:ascii="SimHei" w:hAnsi="SimHei" w:eastAsia="SimHei" w:cs="SimHei"/>
          <w:sz w:val="30"/>
          <w:szCs w:val="30"/>
          <w:spacing w:val="10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本办法自印发之日起施行，有效期5</w:t>
      </w:r>
      <w:r>
        <w:rPr>
          <w:rFonts w:ascii="FangSong" w:hAnsi="FangSong" w:eastAsia="FangSong" w:cs="FangSong"/>
          <w:sz w:val="30"/>
          <w:szCs w:val="30"/>
          <w:spacing w:val="9"/>
        </w:rPr>
        <w:t>年。此前</w:t>
      </w:r>
    </w:p>
    <w:p>
      <w:pPr>
        <w:spacing w:line="221" w:lineRule="auto"/>
        <w:sectPr>
          <w:footerReference w:type="default" r:id="rId28"/>
          <w:pgSz w:w="11920" w:h="16900"/>
          <w:pgMar w:top="1436" w:right="1519" w:bottom="1541" w:left="209" w:header="0" w:footer="124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43" w:right="1574" w:hanging="9"/>
        <w:spacing w:before="97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相关规定与本办法不一致的，依本办法执行。原《陕西省科技发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展专项资金管理办法》(陕财办教〔2020〕104号)同时废止。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>
        <w:pict>
          <v:shape id="_x0000_s8" style="position:absolute;margin-left:497.881pt;margin-top:8.13043pt;mso-position-vertical-relative:text;mso-position-horizontal-relative:text;width:5.45pt;height:5pt;z-index:2517135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04" w:lineRule="auto"/>
                    <w:rPr>
                      <w:rFonts w:ascii="SimSun" w:hAnsi="SimSun" w:eastAsia="SimSun" w:cs="SimSun"/>
                      <w:sz w:val="6"/>
                      <w:szCs w:val="6"/>
                    </w:rPr>
                  </w:pPr>
                  <w:r>
                    <w:rPr>
                      <w:rFonts w:ascii="SimSun" w:hAnsi="SimSun" w:eastAsia="SimSun" w:cs="SimSun"/>
                      <w:sz w:val="6"/>
                      <w:szCs w:val="6"/>
                    </w:rPr>
                    <w:t>心</w:t>
                  </w:r>
                </w:p>
              </w:txbxContent>
            </v:textbox>
          </v:shape>
        </w:pict>
      </w:r>
      <w:r/>
    </w:p>
    <w:p>
      <w:pPr>
        <w:pStyle w:val="BodyText"/>
        <w:rPr/>
      </w:pPr>
      <w:r>
        <w:pict>
          <v:shape id="_x0000_s10" style="position:absolute;margin-left:498.626pt;margin-top:8.34546pt;mso-position-vertical-relative:text;mso-position-horizontal-relative:text;width:4.75pt;height:29.6pt;z-index:2517125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63" w:lineRule="auto"/>
                    <w:rPr>
                      <w:rFonts w:ascii="SimSun" w:hAnsi="SimSun" w:eastAsia="SimSun" w:cs="SimSun"/>
                      <w:sz w:val="6"/>
                      <w:szCs w:val="6"/>
                    </w:rPr>
                  </w:pPr>
                  <w:r>
                    <w:rPr>
                      <w:rFonts w:ascii="SimSun" w:hAnsi="SimSun" w:eastAsia="SimSun" w:cs="SimSun"/>
                      <w:sz w:val="6"/>
                      <w:szCs w:val="6"/>
                      <w:spacing w:val="3"/>
                      <w:w w:val="126"/>
                    </w:rPr>
                    <w:t>~</w:t>
                  </w:r>
                  <w:r>
                    <w:rPr>
                      <w:rFonts w:ascii="SimSun" w:hAnsi="SimSun" w:eastAsia="SimSun" w:cs="SimSun"/>
                      <w:sz w:val="6"/>
                      <w:szCs w:val="6"/>
                    </w:rPr>
                    <w:t xml:space="preserve">              </w:t>
                  </w:r>
                  <w:r>
                    <w:rPr>
                      <w:rFonts w:ascii="SimSun" w:hAnsi="SimSun" w:eastAsia="SimSun" w:cs="SimSun"/>
                      <w:sz w:val="6"/>
                      <w:szCs w:val="6"/>
                      <w:spacing w:val="3"/>
                      <w:w w:val="126"/>
                    </w:rPr>
                    <w:t>令</w:t>
                  </w:r>
                </w:p>
              </w:txbxContent>
            </v:textbox>
          </v:shape>
        </w:pict>
      </w:r>
      <w:r/>
    </w:p>
    <w:p>
      <w:pPr>
        <w:pStyle w:val="BodyText"/>
        <w:rPr/>
      </w:pPr>
      <w:r>
        <w:pict>
          <v:shape id="_x0000_s12" style="position:absolute;margin-left:499.217pt;margin-top:8.56049pt;mso-position-vertical-relative:text;mso-position-horizontal-relative:text;width:2.9pt;height:4.95pt;z-index:2517145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7" w:lineRule="exact"/>
                    <w:rPr>
                      <w:rFonts w:ascii="SimSun" w:hAnsi="SimSun" w:eastAsia="SimSun" w:cs="SimSun"/>
                      <w:sz w:val="6"/>
                      <w:szCs w:val="6"/>
                    </w:rPr>
                  </w:pPr>
                  <w:r>
                    <w:rPr>
                      <w:rFonts w:ascii="SimSun" w:hAnsi="SimSun" w:eastAsia="SimSun" w:cs="SimSun"/>
                      <w:sz w:val="6"/>
                      <w:szCs w:val="6"/>
                      <w:spacing w:val="14"/>
                      <w:w w:val="147"/>
                    </w:rPr>
                    <w:t>;</w:t>
                  </w:r>
                </w:p>
              </w:txbxContent>
            </v:textbox>
          </v:shape>
        </w:pict>
      </w: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6086347</wp:posOffset>
                </wp:positionH>
                <wp:positionV relativeFrom="paragraph">
                  <wp:posOffset>303146</wp:posOffset>
                </wp:positionV>
                <wp:extent cx="522605" cy="194945"/>
                <wp:effectExtent l="0" t="0" r="0" b="0"/>
                <wp:wrapNone/>
                <wp:docPr id="26" name="TextBox 26"/>
                <wp:cNvGraphicFramePr/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5400000">
                          <a:off x="6086347" y="303146"/>
                          <a:ext cx="522605" cy="1949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6" w:line="220" w:lineRule="exact"/>
                              <w:jc w:val="right"/>
                              <w:rPr>
                                <w:rFonts w:ascii="STXingkai" w:hAnsi="STXingkai" w:eastAsia="STXingkai" w:cs="STXingka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Xingkai" w:hAnsi="STXingkai" w:eastAsia="STXingkai" w:cs="STXingkai"/>
                                <w:sz w:val="16"/>
                                <w:szCs w:val="16"/>
                                <w:spacing w:val="-18"/>
                                <w:position w:val="2"/>
                              </w:rPr>
                              <w:t>作</w:t>
                            </w:r>
                            <w:r>
                              <w:rPr>
                                <w:rFonts w:ascii="STXingkai" w:hAnsi="STXingkai" w:eastAsia="STXingkai" w:cs="STXingkai"/>
                                <w:sz w:val="16"/>
                                <w:szCs w:val="16"/>
                                <w:spacing w:val="1"/>
                                <w:position w:val="2"/>
                              </w:rPr>
                              <w:t xml:space="preserve">    </w:t>
                            </w:r>
                            <w:r>
                              <w:rPr>
                                <w:rFonts w:ascii="STXingkai" w:hAnsi="STXingkai" w:eastAsia="STXingkai" w:cs="STXingkai"/>
                                <w:sz w:val="16"/>
                                <w:szCs w:val="16"/>
                                <w:spacing w:val="-17"/>
                                <w:position w:val="2"/>
                              </w:rPr>
                              <w:t>：</w:t>
                            </w:r>
                            <w:r>
                              <w:rPr>
                                <w:rFonts w:ascii="STXingkai" w:hAnsi="STXingkai" w:eastAsia="STXingkai" w:cs="STXingkai"/>
                                <w:sz w:val="16"/>
                                <w:szCs w:val="16"/>
                                <w:spacing w:val="8"/>
                                <w:position w:val="2"/>
                              </w:rPr>
                              <w:t xml:space="preserve">    </w:t>
                            </w:r>
                            <w:r>
                              <w:rPr>
                                <w:rFonts w:ascii="STXingkai" w:hAnsi="STXingkai" w:eastAsia="STXingkai" w:cs="STXingkai"/>
                                <w:sz w:val="16"/>
                                <w:szCs w:val="16"/>
                                <w:spacing w:val="-13"/>
                                <w:position w:val="2"/>
                              </w:rPr>
                              <w:t>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479.24pt;margin-top:23.8698pt;mso-position-vertical-relative:text;mso-position-horizontal-relative:text;width:41.15pt;height:15.35pt;z-index:251709440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66" w:line="220" w:lineRule="exact"/>
                        <w:jc w:val="right"/>
                        <w:rPr>
                          <w:rFonts w:ascii="STXingkai" w:hAnsi="STXingkai" w:eastAsia="STXingkai" w:cs="STXingkai"/>
                          <w:sz w:val="16"/>
                          <w:szCs w:val="16"/>
                        </w:rPr>
                      </w:pPr>
                      <w:r>
                        <w:rPr>
                          <w:rFonts w:ascii="STXingkai" w:hAnsi="STXingkai" w:eastAsia="STXingkai" w:cs="STXingkai"/>
                          <w:sz w:val="16"/>
                          <w:szCs w:val="16"/>
                          <w:spacing w:val="-18"/>
                          <w:position w:val="2"/>
                        </w:rPr>
                        <w:t>作</w:t>
                      </w:r>
                      <w:r>
                        <w:rPr>
                          <w:rFonts w:ascii="STXingkai" w:hAnsi="STXingkai" w:eastAsia="STXingkai" w:cs="STXingkai"/>
                          <w:sz w:val="16"/>
                          <w:szCs w:val="16"/>
                          <w:spacing w:val="1"/>
                          <w:position w:val="2"/>
                        </w:rPr>
                        <w:t xml:space="preserve">    </w:t>
                      </w:r>
                      <w:r>
                        <w:rPr>
                          <w:rFonts w:ascii="STXingkai" w:hAnsi="STXingkai" w:eastAsia="STXingkai" w:cs="STXingkai"/>
                          <w:sz w:val="16"/>
                          <w:szCs w:val="16"/>
                          <w:spacing w:val="-17"/>
                          <w:position w:val="2"/>
                        </w:rPr>
                        <w:t>：</w:t>
                      </w:r>
                      <w:r>
                        <w:rPr>
                          <w:rFonts w:ascii="STXingkai" w:hAnsi="STXingkai" w:eastAsia="STXingkai" w:cs="STXingkai"/>
                          <w:sz w:val="16"/>
                          <w:szCs w:val="16"/>
                          <w:spacing w:val="8"/>
                          <w:position w:val="2"/>
                        </w:rPr>
                        <w:t xml:space="preserve">    </w:t>
                      </w:r>
                      <w:r>
                        <w:rPr>
                          <w:rFonts w:ascii="STXingkai" w:hAnsi="STXingkai" w:eastAsia="STXingkai" w:cs="STXingkai"/>
                          <w:sz w:val="16"/>
                          <w:szCs w:val="16"/>
                          <w:spacing w:val="-13"/>
                          <w:position w:val="2"/>
                        </w:rPr>
                        <w:t>些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>
        <w:pict>
          <v:shape id="_x0000_s16" style="position:absolute;margin-left:0.25pt;margin-top:5.86112pt;mso-position-vertical-relative:text;mso-position-horizontal-relative:text;width:428.5pt;height:0.5pt;z-index:251710464;" filled="false" strokecolor="#000000" strokeweight="0.50pt" coordsize="8570,10" coordorigin="0,0" path="m0,5l4199,5m4199,5l8569,5e">
            <v:stroke joinstyle="miter" miterlimit="10"/>
          </v:shape>
        </w:pict>
      </w:r>
      <w:r/>
    </w:p>
    <w:p>
      <w:pPr>
        <w:ind w:left="333"/>
        <w:spacing w:before="91" w:line="226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18" style="position:absolute;margin-left:0.25pt;margin-top:20.2386pt;mso-position-vertical-relative:text;mso-position-horizontal-relative:text;width:428.5pt;height:0.5pt;z-index:251711488;" filled="false" strokecolor="#000000" strokeweight="0.50pt" coordsize="8570,10" coordorigin="0,0" path="m0,5l4199,5m4199,5l8569,5e">
            <v:stroke joinstyle="miter" miterlimit="10"/>
          </v:shape>
        </w:pict>
      </w:r>
      <w:r>
        <w:rPr>
          <w:rFonts w:ascii="SimSun" w:hAnsi="SimSun" w:eastAsia="SimSun" w:cs="SimSun"/>
          <w:sz w:val="28"/>
          <w:szCs w:val="28"/>
          <w:b/>
          <w:bCs/>
          <w:spacing w:val="-1"/>
        </w:rPr>
        <w:t>陕西省财政厅办公室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                   </w:t>
      </w:r>
      <w:r>
        <w:rPr>
          <w:rFonts w:ascii="SimSun" w:hAnsi="SimSun" w:eastAsia="SimSun" w:cs="SimSun"/>
          <w:sz w:val="28"/>
          <w:szCs w:val="28"/>
          <w:b/>
          <w:bCs/>
          <w:spacing w:val="-1"/>
        </w:rPr>
        <w:t>2024年8月22日印发</w:t>
      </w:r>
    </w:p>
    <w:sectPr>
      <w:footerReference w:type="default" r:id="rId29"/>
      <w:pgSz w:w="11880" w:h="16880"/>
      <w:pgMar w:top="1434" w:right="166" w:bottom="400" w:left="16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3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3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84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18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3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4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b/>
        <w:bCs/>
        <w:spacing w:val="-11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3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25"/>
      </w:rPr>
      <w:t>—15</w:t>
    </w:r>
    <w:r>
      <w:rPr>
        <w:rFonts w:ascii="SimSun" w:hAnsi="SimSun" w:eastAsia="SimSun" w:cs="SimSun"/>
        <w:sz w:val="30"/>
        <w:szCs w:val="30"/>
        <w:b/>
        <w:bCs/>
        <w:spacing w:val="-9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3"/>
      </w:rPr>
      <w:t>—16—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70"/>
      <w:spacing w:before="1"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2"/>
      </w:rPr>
      <w:t>—17—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9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before="1" w:line="176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2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17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5"/>
      <w:spacing w:line="175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17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0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"/>
      <w:spacing w:line="175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17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2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"/>
      <w:spacing w:before="1" w:line="176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b/>
        <w:bCs/>
        <w:spacing w:val="-19"/>
      </w:rPr>
      <w:t>—</w:t>
    </w:r>
    <w:r>
      <w:rPr>
        <w:rFonts w:ascii="SimSun" w:hAnsi="SimSun" w:eastAsia="SimSun" w:cs="SimSun"/>
        <w:sz w:val="30"/>
        <w:szCs w:val="30"/>
        <w:b/>
        <w:bCs/>
        <w:spacing w:val="-18"/>
      </w:rPr>
      <w:t>9</w:t>
    </w:r>
    <w:r>
      <w:rPr>
        <w:rFonts w:ascii="SimSun" w:hAnsi="SimSun" w:eastAsia="SimSun" w:cs="SimSun"/>
        <w:sz w:val="30"/>
        <w:szCs w:val="30"/>
        <w:b/>
        <w:bCs/>
        <w:spacing w:val="-1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styles" Target="styles.xml"/><Relationship Id="rId30" Type="http://schemas.openxmlformats.org/officeDocument/2006/relationships/settings" Target="settings.xml"/><Relationship Id="rId3" Type="http://schemas.openxmlformats.org/officeDocument/2006/relationships/image" Target="media/image2.png"/><Relationship Id="rId29" Type="http://schemas.openxmlformats.org/officeDocument/2006/relationships/footer" Target="footer18.xml"/><Relationship Id="rId28" Type="http://schemas.openxmlformats.org/officeDocument/2006/relationships/footer" Target="footer17.xml"/><Relationship Id="rId27" Type="http://schemas.openxmlformats.org/officeDocument/2006/relationships/image" Target="media/image11.jpeg"/><Relationship Id="rId26" Type="http://schemas.openxmlformats.org/officeDocument/2006/relationships/image" Target="media/image10.jpeg"/><Relationship Id="rId25" Type="http://schemas.openxmlformats.org/officeDocument/2006/relationships/footer" Target="footer16.xml"/><Relationship Id="rId24" Type="http://schemas.openxmlformats.org/officeDocument/2006/relationships/image" Target="media/image9.jpeg"/><Relationship Id="rId23" Type="http://schemas.openxmlformats.org/officeDocument/2006/relationships/footer" Target="footer15.xml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footer" Target="footer14.xml"/><Relationship Id="rId2" Type="http://schemas.openxmlformats.org/officeDocument/2006/relationships/image" Target="media/image1.png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image" Target="media/image6.png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image" Target="media/image5.jpeg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2024-12-24T16:22:33Z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2024-12-24T16:22:34</vt:filetime>
  </property>
  <property fmtid="{D5CDD505-2E9C-101B-9397-08002B2CF9AE}" pid="4" name="UsrData">
    <vt:lpwstr>676a6f44d0534a001f86f8c9wl</vt:lpwstr>
  </property>
</Properties>
</file>