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D4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仿宋" w:hAnsi="仿宋" w:eastAsia="仿宋" w:cs="仿宋"/>
          <w:i w:val="0"/>
          <w:iCs w:val="0"/>
          <w:caps w:val="0"/>
          <w:color w:val="727272"/>
          <w:spacing w:val="0"/>
          <w:sz w:val="28"/>
          <w:szCs w:val="28"/>
        </w:rPr>
      </w:pPr>
      <w:r>
        <w:rPr>
          <w:rFonts w:hint="eastAsia" w:ascii="仿宋" w:hAnsi="仿宋" w:eastAsia="仿宋" w:cs="仿宋"/>
          <w:b/>
          <w:bCs/>
          <w:i w:val="0"/>
          <w:iCs w:val="0"/>
          <w:caps w:val="0"/>
          <w:color w:val="BC2427"/>
          <w:spacing w:val="0"/>
          <w:sz w:val="32"/>
          <w:szCs w:val="32"/>
          <w:bdr w:val="none" w:color="auto" w:sz="0" w:space="0"/>
          <w:shd w:val="clear" w:fill="FFFFFF"/>
        </w:rPr>
        <w:t>中共中央办公厅 国务院办公厅《关于进一步加强科研诚信建设的若</w:t>
      </w:r>
      <w:r>
        <w:rPr>
          <w:rFonts w:hint="eastAsia" w:ascii="仿宋" w:hAnsi="仿宋" w:eastAsia="仿宋" w:cs="仿宋"/>
          <w:b/>
          <w:bCs/>
          <w:i w:val="0"/>
          <w:iCs w:val="0"/>
          <w:caps w:val="0"/>
          <w:color w:val="BC2427"/>
          <w:spacing w:val="0"/>
          <w:sz w:val="32"/>
          <w:szCs w:val="32"/>
          <w:shd w:val="clear" w:fill="FFFFFF"/>
        </w:rPr>
        <w:t>干意见》</w:t>
      </w:r>
    </w:p>
    <w:p w14:paraId="18867C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 w:hAnsi="仿宋" w:eastAsia="仿宋" w:cs="仿宋"/>
          <w:sz w:val="28"/>
          <w:szCs w:val="28"/>
        </w:rPr>
      </w:pPr>
    </w:p>
    <w:p w14:paraId="1DB95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14:paraId="1B7B5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14:paraId="76D60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一、总体要求</w:t>
      </w:r>
    </w:p>
    <w:p w14:paraId="5FB4CF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（一）指导思想</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7144D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（二）基本原则</w:t>
      </w:r>
    </w:p>
    <w:p w14:paraId="21F13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——明确责任，协调有序。加强顶层设计、统筹协调，明确科研诚信建设各主体职责，加强部门沟通、协同、联动，形成全社会推进科研诚信建设合力。</w:t>
      </w:r>
    </w:p>
    <w:p w14:paraId="1E466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——系统推进，重点突破。构建符合科研规律、适应建设世界科技强国要求的科研诚信体系。坚持问题导向，重点在实践养成、调查处理等方面实现突破，在提高诚信意识、优化科研环境等方面取得实效。</w:t>
      </w:r>
    </w:p>
    <w:p w14:paraId="2C129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——激励创新，宽容失败。充分尊重科学研究灵感瞬间性、方式多样性、路径不确定性的特点，重视科研试错探索的价值，建立鼓励创新、宽容失败的容错纠错机制，形成敢为人先、勇于探索的科研氛围。</w:t>
      </w:r>
    </w:p>
    <w:p w14:paraId="44D7C2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3AB9B8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（三）主要目标。</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14:paraId="4687D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二、完善科研诚信管理工作机制和责任体系</w:t>
      </w:r>
    </w:p>
    <w:p w14:paraId="5DE25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（四）建立健全职责明确、高效协同的科研诚信管理体系。</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3314A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（五）从事科研活动及参与科技管理服务的各类机构要切实履行科研诚信建设的主体责任。</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14:paraId="691463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14:paraId="75D02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67BE33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从事科技评估、科技咨询、科技成果转化、科技企业孵化和科研经费审计等的科技中介服务机构要严格遵守行业规范，强化诚信管理，自觉接受监督。</w:t>
      </w:r>
    </w:p>
    <w:p w14:paraId="3123B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（六）学会、协会、研究会等社会团体要发挥自律自净功能。</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学会、协会、研究会等社会团体要主动发挥作用，在各自领域积极开展科研活动行为规范制定、诚信教育引导、诚信案件调查认定、科研诚信理论研究等工作，实现自我规范、自我管理、自我净化。</w:t>
      </w:r>
    </w:p>
    <w:p w14:paraId="7741E8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（七）从事科研活动和参与科技管理服务的各类人员要坚守底线、严格自律。</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24B54A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14:paraId="262B35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2458F9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三、加强科研活动全流程诚信管理</w:t>
      </w:r>
    </w:p>
    <w:p w14:paraId="67BB8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（八）加强科技计划全过程的科研诚信管理。</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14:paraId="113A3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（九）全面实施科研诚信承诺制。</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299D42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（十）强化科研诚信审核。</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7E7CB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（十一）建立健全学术论文等科研成果管理制度。</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14:paraId="0618FB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（十二）着力深化科研评价制度改革。</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推进项目评审、人才评价、机构评估改革，建立以科技创</w:t>
      </w:r>
      <w:bookmarkStart w:id="0" w:name="_GoBack"/>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新质量、贡献、绩效为导向的分类评价制度，将科研诚信状况作为各类评价的重要指标，提倡严谨治学，反对急功近利。坚持分类评价，突出品德、能力、业绩导向，注重标志性成果质量、贡献、影响，推行代表作评价制</w:t>
      </w:r>
      <w:bookmarkEnd w:id="0"/>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0DEDE2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四、进一步推进科研诚信制度化建设</w:t>
      </w:r>
    </w:p>
    <w:p w14:paraId="017C98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（十三）完善科研诚信管理制度。</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14:paraId="73CD0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（十四）完善违背科研诚信要求行为的调查处理规则。</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14:paraId="34A24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（十五）建立健全学术期刊管理和预警制度。</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3EF55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14:paraId="67B96A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五、切实加强科研诚信的教育和宣传</w:t>
      </w:r>
    </w:p>
    <w:p w14:paraId="268DC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（十六）加强科研诚信教育。</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6964D3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科技计划管理部门、项目管理专业机构以及项目承担单位，应当结合科技计划组织实施的特点，对承担或参与科技计划项目的科研人员有效开展科研诚信教育。</w:t>
      </w:r>
    </w:p>
    <w:p w14:paraId="74F86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（十七）充分发挥学会、协会、研究会等社会团体的教育培训作用。</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学会、协会、研究会等社会团体要主动加强科研诚信教育培训工作，帮助科研人员熟悉和掌握科研诚信具体要求，引导科研人员自觉抵制弄虚作假、欺诈剽窃等行为，开展负责任的科学研究。</w:t>
      </w:r>
    </w:p>
    <w:p w14:paraId="3D2A55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（十八）加强科研诚信宣传。</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6913A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六、严肃查处严重违背科研诚信要求的行为</w:t>
      </w:r>
    </w:p>
    <w:p w14:paraId="02C02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（十九）切实履行调查处理责任。</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08719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（二十）严厉打击严重违背科研诚信要求的行为。</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14:paraId="614FE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5CA5EC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对包庇、纵容甚至骗取各类财政资助项目或奖励的单位，有关主管部门要给予约谈主要负责人、停拨或核减经费、记入科研诚信严重失信行为数据库、移送司法机关等处理。</w:t>
      </w:r>
    </w:p>
    <w:p w14:paraId="46DC8A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（二十一）开展联合惩戒。</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14:paraId="1F1CE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七、加快推进科研诚信信息化建设</w:t>
      </w:r>
    </w:p>
    <w:p w14:paraId="049F4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（二十二）建立完善科研诚信信息系统。</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322A7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（二十三）规范科研诚信信息管理。</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5479F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（二十四）加强科研诚信信息共享应用。</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逐步推动科研诚信信息系统与全国信用信息共享平台、地方科研诚信信息系统互联互通，分阶段分权限实现信息共享，为实现跨部门跨地区联合惩戒提供支撑。</w:t>
      </w:r>
    </w:p>
    <w:p w14:paraId="6DE84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八、保障措施</w:t>
      </w:r>
    </w:p>
    <w:p w14:paraId="500C8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（二十五）加强党对科研诚信建设工作的领导。</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0DAB5A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（二十六）发挥社会监督和舆论引导作用。</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78E3CC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（二十七）加强监测评估。</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14:paraId="495D9D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仿宋" w:hAnsi="仿宋" w:eastAsia="仿宋" w:cs="仿宋"/>
          <w:sz w:val="28"/>
          <w:szCs w:val="28"/>
        </w:rPr>
      </w:pPr>
      <w:r>
        <w:rPr>
          <w:rStyle w:val="5"/>
          <w:rFonts w:hint="eastAsia" w:ascii="仿宋" w:hAnsi="仿宋" w:eastAsia="仿宋" w:cs="仿宋"/>
          <w:b/>
          <w:bCs/>
          <w:i w:val="0"/>
          <w:iCs w:val="0"/>
          <w:caps w:val="0"/>
          <w:color w:val="333333"/>
          <w:spacing w:val="0"/>
          <w:kern w:val="0"/>
          <w:sz w:val="28"/>
          <w:szCs w:val="28"/>
          <w:bdr w:val="none" w:color="auto" w:sz="0" w:space="0"/>
          <w:shd w:val="clear" w:fill="FFFFFF"/>
          <w:lang w:val="en-US" w:eastAsia="zh-CN" w:bidi="ar"/>
        </w:rPr>
        <w:t>（二十八）积极开展国际交流合作。</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积极开展与相关国家、国际组织等的交流合作，加强对科技发展带来的科研诚信建设新情况新问题研究，共同完善国际科研规范，有效应对跨国跨地区科研诚信案件。</w:t>
      </w:r>
    </w:p>
    <w:p w14:paraId="3DA66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727272"/>
          <w:spacing w:val="0"/>
          <w:kern w:val="0"/>
          <w:sz w:val="28"/>
          <w:szCs w:val="28"/>
          <w:bdr w:val="none" w:color="auto" w:sz="0" w:space="0"/>
          <w:shd w:val="clear" w:fill="FFFFFF"/>
          <w:lang w:val="en-US" w:eastAsia="zh-CN" w:bidi="ar"/>
        </w:rPr>
        <w:t> </w:t>
      </w:r>
    </w:p>
    <w:p w14:paraId="09172DA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3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2024-12-24T02:31:17Z</dcterms:created>
  <dc:creator>HUAWEI</dc:creator>
  <cp:lastModifiedBy>柠檬草的味道</cp:lastModifiedBy>
  <dcterms:modified xsi:type="dcterms:W3CDTF">2024-12-24T02:37:01Z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B5D8CA42FBF5463A8E86945DCE9E9684_12</vt:lpwstr>
  </property>
</Properties>
</file>